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
      <w:pPr>
        <w:spacing w:after="80"/>
        <w:jc w:val="center"/>
      </w:pPr>
      <w:r>
        <w:rPr>
          <w:rFonts w:ascii="Arial" w:hAnsi="Arial"/>
          <w:b/>
          <w:i w:val="0"/>
          <w:color w:val="1A1A2E"/>
          <w:sz w:val="52"/>
        </w:rPr>
        <w:t>CONTENT OUTLINE</w:t>
      </w:r>
    </w:p>
    <w:p>
      <w:pPr>
        <w:spacing w:after="480"/>
        <w:jc w:val="center"/>
      </w:pPr>
      <w:r>
        <w:rPr>
          <w:rFonts w:ascii="Arial" w:hAnsi="Arial"/>
          <w:b/>
          <w:i w:val="0"/>
          <w:color w:val="3282B8"/>
          <w:sz w:val="32"/>
        </w:rPr>
        <w:t>Field Guide</w:t>
      </w:r>
    </w:p>
    <w:p>
      <w:pPr>
        <w:spacing w:after="800"/>
        <w:jc w:val="center"/>
      </w:pPr>
      <w:r>
        <w:rPr>
          <w:rFonts w:ascii="Arial" w:hAnsi="Arial"/>
          <w:b w:val="0"/>
          <w:i w:val="0"/>
          <w:color w:val="718096"/>
          <w:sz w:val="22"/>
        </w:rPr>
        <w:t>Companion to the Content Outline template</w:t>
      </w:r>
    </w:p>
    <w:p>
      <w:pPr>
        <w:spacing w:after="20"/>
        <w:jc w:val="center"/>
      </w:pPr>
      <w:r>
        <w:rPr>
          <w:rFonts w:ascii="Arial" w:hAnsi="Arial"/>
          <w:b w:val="0"/>
          <w:i w:val="0"/>
          <w:color w:val="718096"/>
          <w:sz w:val="20"/>
        </w:rPr>
        <w:t>Learning &amp; Development</w:t>
      </w:r>
    </w:p>
    <w:p>
      <w:pPr>
        <w:spacing w:after="40"/>
        <w:jc w:val="center"/>
      </w:pPr>
      <w:r>
        <w:rPr>
          <w:rFonts w:ascii="Arial" w:hAnsi="Arial"/>
          <w:b w:val="0"/>
          <w:i w:val="0"/>
          <w:color w:val="718096"/>
          <w:sz w:val="20"/>
        </w:rPr>
        <w:t>Zach Dornisch, M.S. IDT     |     Version 1.0</w:t>
      </w:r>
    </w:p>
    <w:p>
      <w:r>
        <w:br w:type="page"/>
      </w:r>
    </w:p>
    <w:p>
      <w:pPr>
        <w:pStyle w:val="Heading1"/>
        <w:spacing w:before="260" w:after="80"/>
      </w:pPr>
      <w:r>
        <w:rPr>
          <w:rFonts w:ascii="Arial" w:hAnsi="Arial"/>
          <w:b/>
          <w:color w:val="1A1A2E"/>
          <w:sz w:val="30"/>
        </w:rPr>
        <w:t>How to Use This Guide</w:t>
      </w:r>
    </w:p>
    <w:p>
      <w:pPr>
        <w:spacing w:after="120"/>
      </w:pPr>
      <w:r>
        <w:rPr>
          <w:rFonts w:ascii="Arial" w:hAnsi="Arial"/>
          <w:b w:val="0"/>
          <w:i w:val="0"/>
          <w:color w:val="2D3748"/>
          <w:sz w:val="22"/>
        </w:rPr>
        <w:t>The template tells you WHAT goes in each section of a content outline. This guide tells you HOW to build one, and WHY each step matters — written so that someone doing their first content outline can follow it end to end.</w:t>
      </w:r>
    </w:p>
    <w:p>
      <w:pPr>
        <w:spacing w:after="120"/>
      </w:pPr>
      <w:r>
        <w:rPr>
          <w:rFonts w:ascii="Arial" w:hAnsi="Arial"/>
          <w:b w:val="0"/>
          <w:i w:val="0"/>
          <w:color w:val="2D3748"/>
          <w:sz w:val="22"/>
        </w:rPr>
        <w:t>Section numbers match the template. Where the template says "→ Field Guide §4," come here and find §4. Sources are cited in APA (7th ed.) style, with full references at the end.</w:t>
      </w:r>
    </w:p>
    <w:p>
      <w:pPr>
        <w:pStyle w:val="Heading1"/>
        <w:spacing w:before="260" w:after="80"/>
      </w:pPr>
      <w:r>
        <w:rPr>
          <w:rFonts w:ascii="Arial" w:hAnsi="Arial"/>
          <w:b/>
          <w:color w:val="1A1A2E"/>
          <w:sz w:val="30"/>
        </w:rPr>
        <w:t>The Content Outline Process</w:t>
      </w:r>
    </w:p>
    <w:p>
      <w:pPr>
        <w:spacing w:after="120"/>
      </w:pPr>
      <w:r>
        <w:rPr>
          <w:rFonts w:ascii="Arial" w:hAnsi="Arial"/>
          <w:b w:val="0"/>
          <w:i w:val="0"/>
          <w:color w:val="2D3748"/>
          <w:sz w:val="22"/>
        </w:rPr>
        <w:t>A content outline turns scattered source material into an organized, objective-aligned blueprint that SMEs can validate before you design. Work in this order:</w:t>
      </w:r>
    </w:p>
    <w:p>
      <w:pPr>
        <w:spacing w:after="60"/>
        <w:ind w:left="360"/>
      </w:pPr>
      <w:r>
        <w:rPr>
          <w:rFonts w:ascii="Arial" w:hAnsi="Arial"/>
          <w:b/>
          <w:i w:val="0"/>
          <w:color w:val="3282B8"/>
          <w:sz w:val="22"/>
        </w:rPr>
        <w:t xml:space="preserve">1.  </w:t>
      </w:r>
      <w:r>
        <w:rPr>
          <w:rFonts w:ascii="Arial" w:hAnsi="Arial"/>
          <w:b w:val="0"/>
          <w:i w:val="0"/>
          <w:color w:val="2D3748"/>
          <w:sz w:val="21"/>
        </w:rPr>
        <w:t>Gather — collect everything from SMEs and their documents (the "brain dump").</w:t>
      </w:r>
    </w:p>
    <w:p>
      <w:pPr>
        <w:spacing w:after="60"/>
        <w:ind w:left="360"/>
      </w:pPr>
      <w:r>
        <w:rPr>
          <w:rFonts w:ascii="Arial" w:hAnsi="Arial"/>
          <w:b/>
          <w:i w:val="0"/>
          <w:color w:val="3282B8"/>
          <w:sz w:val="22"/>
        </w:rPr>
        <w:t xml:space="preserve">2.  </w:t>
      </w:r>
      <w:r>
        <w:rPr>
          <w:rFonts w:ascii="Arial" w:hAnsi="Arial"/>
          <w:b w:val="0"/>
          <w:i w:val="0"/>
          <w:color w:val="2D3748"/>
          <w:sz w:val="21"/>
        </w:rPr>
        <w:t>Anchor — list the objectives from the Needs Analysis; the content exists to serve them.</w:t>
      </w:r>
    </w:p>
    <w:p>
      <w:pPr>
        <w:spacing w:after="60"/>
        <w:ind w:left="360"/>
      </w:pPr>
      <w:r>
        <w:rPr>
          <w:rFonts w:ascii="Arial" w:hAnsi="Arial"/>
          <w:b/>
          <w:i w:val="0"/>
          <w:color w:val="3282B8"/>
          <w:sz w:val="22"/>
        </w:rPr>
        <w:t xml:space="preserve">3.  </w:t>
      </w:r>
      <w:r>
        <w:rPr>
          <w:rFonts w:ascii="Arial" w:hAnsi="Arial"/>
          <w:b w:val="0"/>
          <w:i w:val="0"/>
          <w:color w:val="2D3748"/>
          <w:sz w:val="21"/>
        </w:rPr>
        <w:t>Organize — group the content into modules, lessons, and topics.</w:t>
      </w:r>
    </w:p>
    <w:p>
      <w:pPr>
        <w:spacing w:after="60"/>
        <w:ind w:left="360"/>
      </w:pPr>
      <w:r>
        <w:rPr>
          <w:rFonts w:ascii="Arial" w:hAnsi="Arial"/>
          <w:b/>
          <w:i w:val="0"/>
          <w:color w:val="3282B8"/>
          <w:sz w:val="22"/>
        </w:rPr>
        <w:t xml:space="preserve">4.  </w:t>
      </w:r>
      <w:r>
        <w:rPr>
          <w:rFonts w:ascii="Arial" w:hAnsi="Arial"/>
          <w:b w:val="0"/>
          <w:i w:val="0"/>
          <w:color w:val="2D3748"/>
          <w:sz w:val="21"/>
        </w:rPr>
        <w:t>Expand — write the actual content points for each topic, in plain language.</w:t>
      </w:r>
    </w:p>
    <w:p>
      <w:pPr>
        <w:spacing w:after="60"/>
        <w:ind w:left="360"/>
      </w:pPr>
      <w:r>
        <w:rPr>
          <w:rFonts w:ascii="Arial" w:hAnsi="Arial"/>
          <w:b/>
          <w:i w:val="0"/>
          <w:color w:val="3282B8"/>
          <w:sz w:val="22"/>
        </w:rPr>
        <w:t xml:space="preserve">5.  </w:t>
      </w:r>
      <w:r>
        <w:rPr>
          <w:rFonts w:ascii="Arial" w:hAnsi="Arial"/>
          <w:b w:val="0"/>
          <w:i w:val="0"/>
          <w:color w:val="2D3748"/>
          <w:sz w:val="21"/>
        </w:rPr>
        <w:t>Prioritize — mark must-know vs. nice-to-know, and cut what serves no objective.</w:t>
      </w:r>
    </w:p>
    <w:p>
      <w:pPr>
        <w:spacing w:after="60"/>
        <w:ind w:left="360"/>
      </w:pPr>
      <w:r>
        <w:rPr>
          <w:rFonts w:ascii="Arial" w:hAnsi="Arial"/>
          <w:b/>
          <w:i w:val="0"/>
          <w:color w:val="3282B8"/>
          <w:sz w:val="22"/>
        </w:rPr>
        <w:t xml:space="preserve">6.  </w:t>
      </w:r>
      <w:r>
        <w:rPr>
          <w:rFonts w:ascii="Arial" w:hAnsi="Arial"/>
          <w:b w:val="0"/>
          <w:i w:val="0"/>
          <w:color w:val="2D3748"/>
          <w:sz w:val="21"/>
        </w:rPr>
        <w:t>Validate — take it to SMEs to review and sign off.</w:t>
      </w:r>
    </w:p>
    <w:p>
      <w:pPr>
        <w:spacing w:after="120"/>
      </w:pPr>
      <w:r>
        <w:rPr>
          <w:rFonts w:ascii="Arial" w:hAnsi="Arial"/>
          <w:b w:val="0"/>
          <w:i/>
          <w:color w:val="718096"/>
          <w:sz w:val="20"/>
        </w:rPr>
        <w:t>Resist the urge to design while you do this. How you will teach the content — modalities, activities, screens — comes later, in the Design Document. Here you are settling WHAT the content is and whether it is correct.</w:t>
      </w:r>
    </w:p>
    <w:p>
      <w:pPr>
        <w:pStyle w:val="Heading1"/>
        <w:spacing w:before="260" w:after="80"/>
      </w:pPr>
      <w:r>
        <w:rPr>
          <w:rFonts w:ascii="Arial" w:hAnsi="Arial"/>
          <w:b/>
          <w:color w:val="1A1A2E"/>
          <w:sz w:val="30"/>
        </w:rPr>
        <w:t>§1   Purpose and Working with SMEs</w:t>
      </w:r>
    </w:p>
    <w:p>
      <w:pPr>
        <w:spacing w:after="120"/>
      </w:pPr>
      <w:r>
        <w:rPr>
          <w:rFonts w:ascii="Arial" w:hAnsi="Arial"/>
          <w:b w:val="0"/>
          <w:i w:val="0"/>
          <w:color w:val="2D3748"/>
          <w:sz w:val="22"/>
        </w:rPr>
        <w:t>The content outline is where the instructional designer and the SME divide the work cleanly: the SME owns what is true and complete; you own how it maps to objectives and whether each piece earns its place. Expect a natural tension — SMEs tend to want to include everything they know (Moore, 2017). Your job is to keep the content tied to the objectives.</w:t>
      </w:r>
    </w:p>
    <w:p>
      <w:pPr>
        <w:spacing w:after="120"/>
      </w:pPr>
      <w:r>
        <w:rPr>
          <w:rFonts w:ascii="Arial" w:hAnsi="Arial"/>
          <w:b w:val="0"/>
          <w:i w:val="0"/>
          <w:color w:val="2D3748"/>
          <w:sz w:val="22"/>
        </w:rPr>
        <w:t>Set expectations early. Tell SMEs you will bring them an organized outline, name exactly what you need them to check (accuracy, completeness, organizational alignment), and say roughly how long the review will take. Their sign-off here is what lets you hold the line on scope later.</w:t>
      </w:r>
    </w:p>
    <w:p>
      <w:pPr>
        <w:pStyle w:val="Heading1"/>
        <w:spacing w:before="260" w:after="80"/>
      </w:pPr>
      <w:r>
        <w:rPr>
          <w:rFonts w:ascii="Arial" w:hAnsi="Arial"/>
          <w:b/>
          <w:color w:val="1A1A2E"/>
          <w:sz w:val="30"/>
        </w:rPr>
        <w:t>§2   Gathering Content from Sources</w:t>
      </w:r>
    </w:p>
    <w:p>
      <w:pPr>
        <w:spacing w:after="120"/>
      </w:pPr>
      <w:r>
        <w:rPr>
          <w:rFonts w:ascii="Arial" w:hAnsi="Arial"/>
          <w:b w:val="0"/>
          <w:i w:val="0"/>
          <w:color w:val="2D3748"/>
          <w:sz w:val="22"/>
        </w:rPr>
        <w:t>Start by collecting, not organizing — sometimes called a brain dump. Pull content from SME interviews, the documents they hand you (SOPs, policies, system guides), existing training, and direct observation of the real task. Capture it all first; you will shape it in the next step.</w:t>
      </w:r>
    </w:p>
    <w:p>
      <w:pPr>
        <w:spacing w:after="120"/>
      </w:pPr>
      <w:r>
        <w:rPr>
          <w:rFonts w:ascii="Arial" w:hAnsi="Arial"/>
          <w:b w:val="0"/>
          <w:i w:val="0"/>
          <w:color w:val="2D3748"/>
          <w:sz w:val="22"/>
        </w:rPr>
        <w:t>Log every source in §2 of the template so each content point is traceable to where it came from. That traceability speeds the SME review and settles any dispute about whether a detail is accurate or current.</w:t>
      </w:r>
    </w:p>
    <w:p>
      <w:pPr>
        <w:pStyle w:val="Heading1"/>
        <w:spacing w:before="260" w:after="80"/>
      </w:pPr>
      <w:r>
        <w:rPr>
          <w:rFonts w:ascii="Arial" w:hAnsi="Arial"/>
          <w:b/>
          <w:color w:val="1A1A2E"/>
          <w:sz w:val="30"/>
        </w:rPr>
        <w:t>§4   Organizing and Chunking</w:t>
      </w:r>
    </w:p>
    <w:p>
      <w:pPr>
        <w:spacing w:after="120"/>
      </w:pPr>
      <w:r>
        <w:rPr>
          <w:rFonts w:ascii="Arial" w:hAnsi="Arial"/>
          <w:b w:val="0"/>
          <w:i w:val="0"/>
          <w:color w:val="2D3748"/>
          <w:sz w:val="22"/>
        </w:rPr>
        <w:t>Group the raw content into modules, lessons, and topics. Chunk it — break it into small, related pieces — so learners and reviewers are not overwhelmed; working memory is limited, and unchunked content overloads it (Clark &amp; Mayer, 2016).</w:t>
      </w:r>
    </w:p>
    <w:p>
      <w:pPr>
        <w:spacing w:after="120"/>
      </w:pPr>
      <w:r>
        <w:rPr>
          <w:rFonts w:ascii="Arial" w:hAnsi="Arial"/>
          <w:b w:val="0"/>
          <w:i w:val="0"/>
          <w:color w:val="2D3748"/>
          <w:sz w:val="22"/>
        </w:rPr>
        <w:t>Label each topic by content type, because the type determines how you will teach and test it (Clark, 2008):</w:t>
      </w:r>
    </w:p>
    <w:tbl>
      <w:tblPr>
        <w:tblStyle w:val="TableGrid"/>
        <w:tblW w:type="auto" w:w="0"/>
        <w:tblLook w:firstColumn="1" w:firstRow="1" w:lastColumn="0" w:lastRow="0" w:noHBand="0" w:noVBand="1" w:val="04A0"/>
      </w:tblPr>
      <w:tblGrid>
        <w:gridCol w:w="3216"/>
        <w:gridCol w:w="3216"/>
        <w:gridCol w:w="3216"/>
      </w:tblGrid>
      <w:tr>
        <w:tc>
          <w:tcPr>
            <w:tcW w:type="dxa" w:w="3216"/>
            <w:shd w:val="clear" w:color="auto" w:fill="0F4C75"/>
          </w:tcPr>
          <w:p>
            <w:r>
              <w:rPr>
                <w:rFonts w:ascii="Arial" w:hAnsi="Arial"/>
                <w:b/>
                <w:color w:val="FFFFFF"/>
                <w:sz w:val="19"/>
              </w:rPr>
              <w:t>Content type</w:t>
            </w:r>
          </w:p>
        </w:tc>
        <w:tc>
          <w:tcPr>
            <w:tcW w:type="dxa" w:w="3216"/>
            <w:shd w:val="clear" w:color="auto" w:fill="0F4C75"/>
          </w:tcPr>
          <w:p>
            <w:r>
              <w:rPr>
                <w:rFonts w:ascii="Arial" w:hAnsi="Arial"/>
                <w:b/>
                <w:color w:val="FFFFFF"/>
                <w:sz w:val="19"/>
              </w:rPr>
              <w:t>What it is</w:t>
            </w:r>
          </w:p>
        </w:tc>
        <w:tc>
          <w:tcPr>
            <w:tcW w:type="dxa" w:w="3216"/>
            <w:shd w:val="clear" w:color="auto" w:fill="0F4C75"/>
          </w:tcPr>
          <w:p>
            <w:r>
              <w:rPr>
                <w:rFonts w:ascii="Arial" w:hAnsi="Arial"/>
                <w:b/>
                <w:color w:val="FFFFFF"/>
                <w:sz w:val="19"/>
              </w:rPr>
              <w:t>Example</w:t>
            </w:r>
          </w:p>
        </w:tc>
      </w:tr>
      <w:tr>
        <w:tc>
          <w:tcPr>
            <w:tcW w:type="dxa" w:w="3216"/>
          </w:tcPr>
          <w:p>
            <w:r>
              <w:rPr>
                <w:rFonts w:ascii="Arial" w:hAnsi="Arial"/>
                <w:b/>
                <w:color w:val="1A1A2E"/>
                <w:sz w:val="18"/>
              </w:rPr>
              <w:t>Fact</w:t>
            </w:r>
          </w:p>
        </w:tc>
        <w:tc>
          <w:tcPr>
            <w:tcW w:type="dxa" w:w="3216"/>
          </w:tcPr>
          <w:p>
            <w:r>
              <w:rPr>
                <w:rFonts w:ascii="Arial" w:hAnsi="Arial"/>
                <w:b w:val="0"/>
                <w:color w:val="2D3748"/>
                <w:sz w:val="18"/>
              </w:rPr>
              <w:t>Specific, unique information</w:t>
            </w:r>
          </w:p>
        </w:tc>
        <w:tc>
          <w:tcPr>
            <w:tcW w:type="dxa" w:w="3216"/>
          </w:tcPr>
          <w:p>
            <w:r>
              <w:rPr>
                <w:rFonts w:ascii="Arial" w:hAnsi="Arial"/>
                <w:b w:val="0"/>
                <w:color w:val="2D3748"/>
                <w:sz w:val="18"/>
              </w:rPr>
              <w:t>The MRN is six digits</w:t>
            </w:r>
          </w:p>
        </w:tc>
      </w:tr>
      <w:tr>
        <w:tc>
          <w:tcPr>
            <w:tcW w:type="dxa" w:w="3216"/>
          </w:tcPr>
          <w:p>
            <w:r>
              <w:rPr>
                <w:rFonts w:ascii="Arial" w:hAnsi="Arial"/>
                <w:b/>
                <w:color w:val="1A1A2E"/>
                <w:sz w:val="18"/>
              </w:rPr>
              <w:t>Concept</w:t>
            </w:r>
          </w:p>
        </w:tc>
        <w:tc>
          <w:tcPr>
            <w:tcW w:type="dxa" w:w="3216"/>
          </w:tcPr>
          <w:p>
            <w:r>
              <w:rPr>
                <w:rFonts w:ascii="Arial" w:hAnsi="Arial"/>
                <w:b w:val="0"/>
                <w:color w:val="2D3748"/>
                <w:sz w:val="18"/>
              </w:rPr>
              <w:t>A category with examples</w:t>
            </w:r>
          </w:p>
        </w:tc>
        <w:tc>
          <w:tcPr>
            <w:tcW w:type="dxa" w:w="3216"/>
          </w:tcPr>
          <w:p>
            <w:r>
              <w:rPr>
                <w:rFonts w:ascii="Arial" w:hAnsi="Arial"/>
                <w:b w:val="0"/>
                <w:color w:val="2D3748"/>
                <w:sz w:val="18"/>
              </w:rPr>
              <w:t>What counts as a "patient record"</w:t>
            </w:r>
          </w:p>
        </w:tc>
      </w:tr>
      <w:tr>
        <w:tc>
          <w:tcPr>
            <w:tcW w:type="dxa" w:w="3216"/>
          </w:tcPr>
          <w:p>
            <w:r>
              <w:rPr>
                <w:rFonts w:ascii="Arial" w:hAnsi="Arial"/>
                <w:b/>
                <w:color w:val="1A1A2E"/>
                <w:sz w:val="18"/>
              </w:rPr>
              <w:t>Process</w:t>
            </w:r>
          </w:p>
        </w:tc>
        <w:tc>
          <w:tcPr>
            <w:tcW w:type="dxa" w:w="3216"/>
          </w:tcPr>
          <w:p>
            <w:r>
              <w:rPr>
                <w:rFonts w:ascii="Arial" w:hAnsi="Arial"/>
                <w:b w:val="0"/>
                <w:color w:val="2D3748"/>
                <w:sz w:val="18"/>
              </w:rPr>
              <w:t>How something works, in stages</w:t>
            </w:r>
          </w:p>
        </w:tc>
        <w:tc>
          <w:tcPr>
            <w:tcW w:type="dxa" w:w="3216"/>
          </w:tcPr>
          <w:p>
            <w:r>
              <w:rPr>
                <w:rFonts w:ascii="Arial" w:hAnsi="Arial"/>
                <w:b w:val="0"/>
                <w:color w:val="2D3748"/>
                <w:sz w:val="18"/>
              </w:rPr>
              <w:t>How a lab order flows through the system</w:t>
            </w:r>
          </w:p>
        </w:tc>
      </w:tr>
      <w:tr>
        <w:tc>
          <w:tcPr>
            <w:tcW w:type="dxa" w:w="3216"/>
          </w:tcPr>
          <w:p>
            <w:r>
              <w:rPr>
                <w:rFonts w:ascii="Arial" w:hAnsi="Arial"/>
                <w:b/>
                <w:color w:val="1A1A2E"/>
                <w:sz w:val="18"/>
              </w:rPr>
              <w:t>Procedure</w:t>
            </w:r>
          </w:p>
        </w:tc>
        <w:tc>
          <w:tcPr>
            <w:tcW w:type="dxa" w:w="3216"/>
          </w:tcPr>
          <w:p>
            <w:r>
              <w:rPr>
                <w:rFonts w:ascii="Arial" w:hAnsi="Arial"/>
                <w:b w:val="0"/>
                <w:color w:val="2D3748"/>
                <w:sz w:val="18"/>
              </w:rPr>
              <w:t>A step-by-step task</w:t>
            </w:r>
          </w:p>
        </w:tc>
        <w:tc>
          <w:tcPr>
            <w:tcW w:type="dxa" w:w="3216"/>
          </w:tcPr>
          <w:p>
            <w:r>
              <w:rPr>
                <w:rFonts w:ascii="Arial" w:hAnsi="Arial"/>
                <w:b w:val="0"/>
                <w:color w:val="2D3748"/>
                <w:sz w:val="18"/>
              </w:rPr>
              <w:t>Searching for and opening a record</w:t>
            </w:r>
          </w:p>
        </w:tc>
      </w:tr>
      <w:tr>
        <w:tc>
          <w:tcPr>
            <w:tcW w:type="dxa" w:w="3216"/>
          </w:tcPr>
          <w:p>
            <w:r>
              <w:rPr>
                <w:rFonts w:ascii="Arial" w:hAnsi="Arial"/>
                <w:b/>
                <w:color w:val="1A1A2E"/>
                <w:sz w:val="18"/>
              </w:rPr>
              <w:t>Principle</w:t>
            </w:r>
          </w:p>
        </w:tc>
        <w:tc>
          <w:tcPr>
            <w:tcW w:type="dxa" w:w="3216"/>
          </w:tcPr>
          <w:p>
            <w:r>
              <w:rPr>
                <w:rFonts w:ascii="Arial" w:hAnsi="Arial"/>
                <w:b w:val="0"/>
                <w:color w:val="2D3748"/>
                <w:sz w:val="18"/>
              </w:rPr>
              <w:t>A guideline or cause-and-effect rule</w:t>
            </w:r>
          </w:p>
        </w:tc>
        <w:tc>
          <w:tcPr>
            <w:tcW w:type="dxa" w:w="3216"/>
          </w:tcPr>
          <w:p>
            <w:r>
              <w:rPr>
                <w:rFonts w:ascii="Arial" w:hAnsi="Arial"/>
                <w:b w:val="0"/>
                <w:color w:val="2D3748"/>
                <w:sz w:val="18"/>
              </w:rPr>
              <w:t>Why you confirm identity with two identifiers</w:t>
            </w:r>
          </w:p>
        </w:tc>
      </w:tr>
    </w:tbl>
    <w:p>
      <w:pPr>
        <w:spacing w:after="40"/>
      </w:pPr>
    </w:p>
    <w:p>
      <w:pPr>
        <w:pStyle w:val="Heading1"/>
        <w:spacing w:before="260" w:after="80"/>
      </w:pPr>
      <w:r>
        <w:rPr>
          <w:rFonts w:ascii="Arial" w:hAnsi="Arial"/>
          <w:b/>
          <w:color w:val="1A1A2E"/>
          <w:sz w:val="30"/>
        </w:rPr>
        <w:t>§5   Prioritizing — Must-Know vs. Nice-to-Know</w:t>
      </w:r>
    </w:p>
    <w:p>
      <w:pPr>
        <w:spacing w:after="120"/>
      </w:pPr>
      <w:r>
        <w:rPr>
          <w:rFonts w:ascii="Arial" w:hAnsi="Arial"/>
          <w:b w:val="0"/>
          <w:i w:val="0"/>
          <w:color w:val="2D3748"/>
          <w:sz w:val="22"/>
        </w:rPr>
        <w:t>Mark every content point must-know or nice-to-know, and map each to an objective. If a point does not serve an objective, it is a candidate to cut. The most common content-outline failure is the "content dump," where everything the SME knows ends up in the course (Moore, 2017).</w:t>
      </w:r>
    </w:p>
    <w:p>
      <w:pPr>
        <w:pStyle w:val="ListBullet"/>
        <w:spacing w:after="60"/>
      </w:pPr>
      <w:r>
        <w:rPr>
          <w:rFonts w:ascii="Arial" w:hAnsi="Arial"/>
          <w:color w:val="2D3748"/>
          <w:sz w:val="21"/>
        </w:rPr>
        <w:t>Must-know content earns practice and assessment — it is what learners must be able to do.</w:t>
      </w:r>
    </w:p>
    <w:p>
      <w:pPr>
        <w:pStyle w:val="ListBullet"/>
        <w:spacing w:after="60"/>
      </w:pPr>
      <w:r>
        <w:rPr>
          <w:rFonts w:ascii="Arial" w:hAnsi="Arial"/>
          <w:color w:val="2D3748"/>
          <w:sz w:val="21"/>
        </w:rPr>
        <w:t>Nice-to-know content becomes a job aid or reference, or is dropped.</w:t>
      </w:r>
    </w:p>
    <w:p>
      <w:pPr>
        <w:spacing w:after="120"/>
      </w:pPr>
      <w:r>
        <w:rPr>
          <w:rFonts w:ascii="Arial" w:hAnsi="Arial"/>
          <w:b w:val="0"/>
          <w:i w:val="0"/>
          <w:color w:val="2D3748"/>
          <w:sz w:val="22"/>
        </w:rPr>
        <w:t>Lean, prioritized content is what keeps the training usable and focused on performance, not coverage.</w:t>
      </w:r>
    </w:p>
    <w:p>
      <w:pPr>
        <w:pStyle w:val="Heading1"/>
        <w:spacing w:before="260" w:after="80"/>
      </w:pPr>
      <w:r>
        <w:rPr>
          <w:rFonts w:ascii="Arial" w:hAnsi="Arial"/>
          <w:b/>
          <w:color w:val="1A1A2E"/>
          <w:sz w:val="30"/>
        </w:rPr>
        <w:t>§6   Knowledge Checks</w:t>
      </w:r>
    </w:p>
    <w:p>
      <w:pPr>
        <w:spacing w:after="120"/>
      </w:pPr>
      <w:r>
        <w:rPr>
          <w:rFonts w:ascii="Arial" w:hAnsi="Arial"/>
          <w:b w:val="0"/>
          <w:i w:val="0"/>
          <w:color w:val="2D3748"/>
          <w:sz w:val="22"/>
        </w:rPr>
        <w:t>If you capture assessment content here, write each question to check a specific objective, and confirm the correct answer with the SME — SMEs routinely catch subtly wrong "right answers" that would otherwise ship. Keep each question at the level of its objective (recognize vs. apply), not trivia, so the check actually measures the intended performance.</w:t>
      </w:r>
    </w:p>
    <w:p>
      <w:pPr>
        <w:pStyle w:val="Heading1"/>
        <w:spacing w:before="260" w:after="80"/>
      </w:pPr>
      <w:r>
        <w:rPr>
          <w:rFonts w:ascii="Arial" w:hAnsi="Arial"/>
          <w:b/>
          <w:color w:val="1A1A2E"/>
          <w:sz w:val="30"/>
        </w:rPr>
        <w:t>§8   SME Review and Sign-Off</w:t>
      </w:r>
    </w:p>
    <w:p>
      <w:pPr>
        <w:spacing w:after="120"/>
      </w:pPr>
      <w:r>
        <w:rPr>
          <w:rFonts w:ascii="Arial" w:hAnsi="Arial"/>
          <w:b w:val="0"/>
          <w:i w:val="0"/>
          <w:color w:val="2D3748"/>
          <w:sz w:val="22"/>
        </w:rPr>
        <w:t>Make the review easy. Send the outline with clear instructions on what to check — accuracy, completeness, and organizational alignment — and a deadline. Ask SMEs to mark the SME Status column and add notes. For large programs, have each SME sign off on their own content area.</w:t>
      </w:r>
    </w:p>
    <w:p>
      <w:pPr>
        <w:spacing w:after="120"/>
      </w:pPr>
      <w:r>
        <w:rPr>
          <w:rFonts w:ascii="Arial" w:hAnsi="Arial"/>
          <w:b w:val="0"/>
          <w:i w:val="0"/>
          <w:color w:val="2D3748"/>
          <w:sz w:val="22"/>
        </w:rPr>
        <w:t>Formal sign-off does two things: it confirms the content is right, and it sets a baseline. After sign-off, new content goes through change control — which protects your timeline from the endless additions that otherwise creep in late.</w:t>
      </w:r>
    </w:p>
    <w:p>
      <w:pPr>
        <w:pStyle w:val="Heading1"/>
        <w:spacing w:before="260" w:after="80"/>
      </w:pPr>
      <w:r>
        <w:rPr>
          <w:rFonts w:ascii="Arial" w:hAnsi="Arial"/>
          <w:b/>
          <w:color w:val="1A1A2E"/>
          <w:sz w:val="30"/>
        </w:rPr>
        <w:t>References</w:t>
      </w:r>
    </w:p>
    <w:p>
      <w:pPr>
        <w:spacing w:after="160"/>
      </w:pPr>
      <w:r>
        <w:rPr>
          <w:rFonts w:ascii="Arial" w:hAnsi="Arial"/>
          <w:b w:val="0"/>
          <w:i/>
          <w:color w:val="718096"/>
          <w:sz w:val="20"/>
        </w:rPr>
        <w:t>Citations follow APA (7th edition) style.</w:t>
      </w:r>
    </w:p>
    <w:p>
      <w:pPr>
        <w:spacing w:after="120"/>
        <w:ind w:left="720" w:hanging="720"/>
      </w:pPr>
      <w:r>
        <w:rPr>
          <w:rFonts w:ascii="Arial" w:hAnsi="Arial"/>
          <w:b w:val="0"/>
          <w:i w:val="0"/>
          <w:color w:val="2D3748"/>
          <w:sz w:val="21"/>
        </w:rPr>
        <w:t xml:space="preserve">Clark, R. C. (2008). </w:t>
      </w:r>
      <w:r>
        <w:rPr>
          <w:rFonts w:ascii="Arial" w:hAnsi="Arial"/>
          <w:b w:val="0"/>
          <w:i/>
          <w:color w:val="2D3748"/>
          <w:sz w:val="21"/>
        </w:rPr>
        <w:t>Developing technical training: A structured approach for developing classroom and computer-based instructional materials</w:t>
      </w:r>
      <w:r>
        <w:rPr>
          <w:rFonts w:ascii="Arial" w:hAnsi="Arial"/>
          <w:b w:val="0"/>
          <w:i w:val="0"/>
          <w:color w:val="2D3748"/>
          <w:sz w:val="21"/>
        </w:rPr>
        <w:t xml:space="preserve"> (3rd ed.). Pfeiffer.</w:t>
      </w:r>
    </w:p>
    <w:p>
      <w:pPr>
        <w:spacing w:after="120"/>
        <w:ind w:left="720" w:hanging="720"/>
      </w:pPr>
      <w:r>
        <w:rPr>
          <w:rFonts w:ascii="Arial" w:hAnsi="Arial"/>
          <w:b w:val="0"/>
          <w:i w:val="0"/>
          <w:color w:val="2D3748"/>
          <w:sz w:val="21"/>
        </w:rPr>
        <w:t xml:space="preserve">Clark, R. C., &amp; Mayer, R. E. (2016). </w:t>
      </w:r>
      <w:r>
        <w:rPr>
          <w:rFonts w:ascii="Arial" w:hAnsi="Arial"/>
          <w:b w:val="0"/>
          <w:i/>
          <w:color w:val="2D3748"/>
          <w:sz w:val="21"/>
        </w:rPr>
        <w:t>e-Learning and the science of instruction: Proven guidelines for consumers and designers of multimedia learning</w:t>
      </w:r>
      <w:r>
        <w:rPr>
          <w:rFonts w:ascii="Arial" w:hAnsi="Arial"/>
          <w:b w:val="0"/>
          <w:i w:val="0"/>
          <w:color w:val="2D3748"/>
          <w:sz w:val="21"/>
        </w:rPr>
        <w:t xml:space="preserve"> (4th ed.). Wiley.</w:t>
      </w:r>
    </w:p>
    <w:p>
      <w:pPr>
        <w:spacing w:after="120"/>
        <w:ind w:left="720" w:hanging="720"/>
      </w:pPr>
      <w:r>
        <w:rPr>
          <w:rFonts w:ascii="Arial" w:hAnsi="Arial"/>
          <w:b w:val="0"/>
          <w:i w:val="0"/>
          <w:color w:val="2D3748"/>
          <w:sz w:val="21"/>
        </w:rPr>
        <w:t xml:space="preserve">Moore, C. (2017). </w:t>
      </w:r>
      <w:r>
        <w:rPr>
          <w:rFonts w:ascii="Arial" w:hAnsi="Arial"/>
          <w:b w:val="0"/>
          <w:i/>
          <w:color w:val="2D3748"/>
          <w:sz w:val="21"/>
        </w:rPr>
        <w:t>Map it: The hands-on guide to strategic training design</w:t>
      </w:r>
      <w:r>
        <w:rPr>
          <w:rFonts w:ascii="Arial" w:hAnsi="Arial"/>
          <w:b w:val="0"/>
          <w:i w:val="0"/>
          <w:color w:val="2D3748"/>
          <w:sz w:val="21"/>
        </w:rPr>
        <w:t>. Montesa Press.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Outline — Field Guide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