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pPr>
    </w:p>
    <w:p>
      <w:pPr>
        <w:spacing w:after="200"/>
        <w:jc w:val="center"/>
      </w:pPr>
      <w:r>
        <w:rPr>
          <w:rFonts w:ascii="Arial" w:cs="Arial" w:eastAsia="Arial" w:hAnsi="Arial"/>
          <w:b/>
          <w:bCs/>
          <w:color w:val="1A1A2E"/>
          <w:sz w:val="44"/>
          <w:szCs w:val="44"/>
        </w:rPr>
        <w:t xml:space="preserve">DESIGN DOCUMENT</w:t>
      </w:r>
    </w:p>
    <w:p>
      <w:pPr>
        <w:spacing w:after="100"/>
        <w:jc w:val="center"/>
      </w:pPr>
      <w:r>
        <w:rPr>
          <w:rFonts w:ascii="Arial" w:cs="Arial" w:eastAsia="Arial" w:hAnsi="Arial"/>
          <w:color w:val="3282B8"/>
          <w:sz w:val="28"/>
          <w:szCs w:val="28"/>
        </w:rPr>
        <w:t xml:space="preserve">EHR System Implementation Training Program</w:t>
      </w:r>
    </w:p>
    <w:p>
      <w:pPr>
        <w:spacing w:after="600"/>
        <w:jc w:val="center"/>
      </w:pPr>
    </w:p>
    <w:p>
      <w:pPr>
        <w:jc w:val="center"/>
      </w:pPr>
      <w:r>
        <w:rPr>
          <w:rFonts w:ascii="Arial" w:cs="Arial" w:eastAsia="Arial" w:hAnsi="Arial"/>
          <w:color w:val="718096"/>
          <w:sz w:val="20"/>
          <w:szCs w:val="20"/>
        </w:rPr>
        <w:t xml:space="preserve">Prepared for</w:t>
      </w:r>
    </w:p>
    <w:p>
      <w:pPr>
        <w:spacing w:after="400"/>
        <w:jc w:val="center"/>
      </w:pPr>
      <w:r>
        <w:rPr>
          <w:rFonts w:ascii="Arial" w:cs="Arial" w:eastAsia="Arial" w:hAnsi="Arial"/>
          <w:b/>
          <w:bCs/>
          <w:color w:val="1A1A2E"/>
          <w:sz w:val="26"/>
          <w:szCs w:val="26"/>
        </w:rPr>
        <w:t xml:space="preserve">Meridian Health Partners</w:t>
      </w:r>
    </w:p>
    <w:p>
      <w:pPr>
        <w:jc w:val="center"/>
      </w:pPr>
      <w:r>
        <w:rPr>
          <w:rFonts w:ascii="Arial" w:cs="Arial" w:eastAsia="Arial" w:hAnsi="Arial"/>
          <w:color w:val="718096"/>
          <w:sz w:val="20"/>
          <w:szCs w:val="20"/>
        </w:rPr>
        <w:t xml:space="preserve">Prepared by</w:t>
      </w:r>
    </w:p>
    <w:p>
      <w:pPr>
        <w:spacing w:after="200"/>
        <w:jc w:val="center"/>
      </w:pPr>
      <w:r>
        <w:rPr>
          <w:rFonts w:ascii="Arial" w:cs="Arial" w:eastAsia="Arial" w:hAnsi="Arial"/>
          <w:color w:val="1A1A2E"/>
          <w:sz w:val="22"/>
          <w:szCs w:val="22"/>
        </w:rPr>
        <w:t xml:space="preserve">Zach Dornisch, M.S. IDT</w:t>
      </w:r>
    </w:p>
    <w:p>
      <w:pPr>
        <w:jc w:val="center"/>
      </w:pPr>
      <w:r>
        <w:rPr>
          <w:rFonts w:ascii="Arial" w:cs="Arial" w:eastAsia="Arial" w:hAnsi="Arial"/>
          <w:color w:val="718096"/>
          <w:sz w:val="20"/>
          <w:szCs w:val="20"/>
        </w:rPr>
        <w:t xml:space="preserve">Learning &amp; Development</w:t>
      </w:r>
    </w:p>
    <w:p>
      <w:pPr>
        <w:spacing w:before="1200"/>
      </w:pPr>
    </w:p>
    <w:p>
      <w:pPr>
        <w:spacing w:after="60"/>
        <w:jc w:val="center"/>
      </w:pPr>
      <w:r>
        <w:rPr>
          <w:rFonts w:ascii="Arial" w:cs="Arial" w:eastAsia="Arial" w:hAnsi="Arial"/>
          <w:color w:val="718096"/>
          <w:sz w:val="20"/>
          <w:szCs w:val="20"/>
        </w:rPr>
        <w:t xml:space="preserve">March 2026</w:t>
      </w:r>
    </w:p>
    <w:p>
      <w:pPr>
        <w:jc w:val="center"/>
      </w:pPr>
      <w:r>
        <w:rPr>
          <w:rFonts w:ascii="Arial" w:cs="Arial" w:eastAsia="Arial" w:hAnsi="Arial"/>
          <w:color w:val="718096"/>
          <w:sz w:val="20"/>
          <w:szCs w:val="20"/>
        </w:rPr>
        <w:t xml:space="preserve">Version 1.0</w:t>
      </w:r>
    </w:p>
    <w:p>
      <w:pPr>
        <w:sectPr>
          <w:pgSz w:w="12240" w:h="15840" w:orient="portrait"/>
          <w:pgMar w:top="1440" w:right="1440" w:bottom="1440" w:left="1440" w:header="708" w:footer="708" w:gutter="0"/>
          <w:pgNumType/>
          <w:docGrid w:linePitch="360"/>
        </w:sectPr>
      </w:pPr>
    </w:p>
    <w:p>
      <w:pPr>
        <w:pStyle w:val="Heading1"/>
        <w:spacing w:after="120" w:before="360"/>
      </w:pPr>
      <w:r>
        <w:rPr>
          <w:rFonts w:ascii="Arial" w:cs="Arial" w:eastAsia="Arial" w:hAnsi="Arial"/>
          <w:b/>
          <w:bCs/>
          <w:color w:val="1A1A2E"/>
          <w:sz w:val="32"/>
          <w:szCs w:val="32"/>
        </w:rPr>
        <w:t xml:space="preserve">Document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200"/>
        <w:gridCol w:w="3160"/>
        <w:gridCol w:w="1800"/>
        <w:gridCol w:w="1400"/>
      </w:tblGrid>
      <w:tr>
        <w:tc>
          <w:tcPr>
            <w:tcW w:type="dxa" w:w="18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Date</w:t>
            </w:r>
          </w:p>
        </w:tc>
        <w:tc>
          <w:tcPr>
            <w:tcW w:type="dxa" w:w="12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Version</w:t>
            </w:r>
          </w:p>
        </w:tc>
        <w:tc>
          <w:tcPr>
            <w:tcW w:type="dxa" w:w="316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Changes</w:t>
            </w:r>
          </w:p>
        </w:tc>
        <w:tc>
          <w:tcPr>
            <w:tcW w:type="dxa" w:w="18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Author</w:t>
            </w:r>
          </w:p>
        </w:tc>
        <w:tc>
          <w:tcPr>
            <w:tcW w:type="dxa" w:w="14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Approved By</w:t>
            </w:r>
          </w:p>
        </w:tc>
      </w:tr>
      <w:tr>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03/01/2026</w:t>
            </w:r>
          </w:p>
        </w:tc>
        <w:tc>
          <w:tcPr>
            <w:tcW w:type="dxa" w:w="12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1.0</w:t>
            </w:r>
          </w:p>
        </w:tc>
        <w:tc>
          <w:tcPr>
            <w:tcW w:type="dxa" w:w="3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Initial Draft</w:t>
            </w:r>
          </w:p>
        </w:tc>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Z. Dornisch</w:t>
            </w:r>
          </w:p>
        </w:tc>
        <w:tc>
          <w:tcPr>
            <w:tcW w:type="dxa" w:w="14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03/15/2026</w:t>
            </w:r>
          </w:p>
        </w:tc>
        <w:tc>
          <w:tcPr>
            <w:tcW w:type="dxa" w:w="12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1.1</w:t>
            </w:r>
          </w:p>
        </w:tc>
        <w:tc>
          <w:tcPr>
            <w:tcW w:type="dxa" w:w="3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Incorporated stakeholder feedback</w:t>
            </w:r>
          </w:p>
        </w:tc>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Z. Dornisch</w:t>
            </w:r>
          </w:p>
        </w:tc>
        <w:tc>
          <w:tcPr>
            <w:tcW w:type="dxa" w:w="14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bl>
    <w:p>
      <w:pPr>
        <w:spacing w:before="360"/>
      </w:pPr>
    </w:p>
    <w:p>
      <w:pPr>
        <w:pStyle w:val="Heading1"/>
        <w:spacing w:after="120" w:before="360"/>
      </w:pPr>
      <w:r>
        <w:rPr>
          <w:rFonts w:ascii="Arial" w:cs="Arial" w:eastAsia="Arial" w:hAnsi="Arial"/>
          <w:b/>
          <w:bCs/>
          <w:color w:val="1A1A2E"/>
          <w:sz w:val="32"/>
          <w:szCs w:val="32"/>
        </w:rPr>
        <w:t xml:space="preserve">Project Resources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Role</w:t>
            </w:r>
          </w:p>
        </w:tc>
        <w:tc>
          <w:tcPr>
            <w:tcW w:type="dxa" w:w="468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Name</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Project Sponsor</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Dr. Sarah Chen, Chief Medical Officer</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Instructional Designer</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Zach Dornisch, M.S. IDT</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Subject Matter Expert (IT)</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James Whitfield, IT Director</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Subject Matter Expert (Clinical)</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Dr. Maria Santos, Clinical Lead</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Project Manager</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Lisa Park, Operations Manager</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Change Management Lead</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Rachel Kim, HR Director</w:t>
            </w:r>
          </w:p>
        </w:tc>
      </w:tr>
    </w:tbl>
    <w:p>
      <w:r>
        <w:br w:type="page"/>
      </w:r>
    </w:p>
    <w:p>
      <w:pPr>
        <w:pStyle w:val="Heading1"/>
        <w:spacing w:after="120" w:before="360"/>
      </w:pPr>
      <w:r>
        <w:rPr>
          <w:rFonts w:ascii="Arial" w:cs="Arial" w:eastAsia="Arial" w:hAnsi="Arial"/>
          <w:b/>
          <w:bCs/>
          <w:color w:val="1A1A2E"/>
          <w:sz w:val="32"/>
          <w:szCs w:val="32"/>
        </w:rPr>
        <w:t xml:space="preserve">1. Project Overview</w:t>
      </w:r>
    </w:p>
    <w:p>
      <w:pPr>
        <w:spacing w:after="120"/>
      </w:pPr>
      <w:r>
        <w:rPr>
          <w:rFonts w:ascii="Arial" w:cs="Arial" w:eastAsia="Arial" w:hAnsi="Arial"/>
          <w:color w:val="2D3748"/>
          <w:sz w:val="20"/>
          <w:szCs w:val="20"/>
        </w:rPr>
        <w:t xml:space="preserve">This design document outlines the instructional strategy, content structure, and delivery plan for the MeridianChart EHR training program at Meridian Health Partners. It builds on findings from the Learning Needs Analysis completed in March 2026 and serves as the blueprint for all development activities.</w:t>
      </w:r>
    </w:p>
    <w:p>
      <w:pPr>
        <w:spacing w:after="120"/>
      </w:pPr>
      <w:r>
        <w:rPr>
          <w:rFonts w:ascii="Arial" w:cs="Arial" w:eastAsia="Arial" w:hAnsi="Arial"/>
          <w:color w:val="2D3748"/>
          <w:sz w:val="20"/>
          <w:szCs w:val="20"/>
        </w:rPr>
        <w:t xml:space="preserve">The training program will prepare 339 employees across five role groups for the September 2026 go-live using a blended learning approach informed by the Successive Approximation Model (SAM).</w:t>
      </w:r>
    </w:p>
    <w:p>
      <w:pPr>
        <w:pStyle w:val="Heading1"/>
        <w:spacing w:after="120" w:before="360"/>
      </w:pPr>
      <w:r>
        <w:rPr>
          <w:rFonts w:ascii="Arial" w:cs="Arial" w:eastAsia="Arial" w:hAnsi="Arial"/>
          <w:b/>
          <w:bCs/>
          <w:color w:val="1A1A2E"/>
          <w:sz w:val="32"/>
          <w:szCs w:val="32"/>
        </w:rPr>
        <w:t xml:space="preserve">2. Target Audience</w:t>
      </w:r>
    </w:p>
    <w:p>
      <w:pPr>
        <w:spacing w:after="120"/>
      </w:pPr>
      <w:r>
        <w:rPr>
          <w:rFonts w:ascii="Arial" w:cs="Arial" w:eastAsia="Arial" w:hAnsi="Arial"/>
          <w:color w:val="2D3748"/>
          <w:sz w:val="20"/>
          <w:szCs w:val="20"/>
        </w:rPr>
        <w:t xml:space="preserve">The training program addresses five primary audience segments with distinct learning needs and entry characteristics: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W w:type="dxa" w:w="1872"/>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Role Group</w:t>
            </w:r>
          </w:p>
        </w:tc>
        <w:tc>
          <w:tcPr>
            <w:tcW w:type="dxa" w:w="1872"/>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Headcount</w:t>
            </w:r>
          </w:p>
        </w:tc>
        <w:tc>
          <w:tcPr>
            <w:tcW w:type="dxa" w:w="1872"/>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Tech Comfort</w:t>
            </w:r>
          </w:p>
        </w:tc>
        <w:tc>
          <w:tcPr>
            <w:tcW w:type="dxa" w:w="1872"/>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Learning Preference</w:t>
            </w:r>
          </w:p>
        </w:tc>
        <w:tc>
          <w:tcPr>
            <w:tcW w:type="dxa" w:w="1872"/>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Key Considerations</w:t>
            </w:r>
          </w:p>
        </w:tc>
      </w:tr>
      <w:tr>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Physicians</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48</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Moderate</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Self-paced, concise</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Limited availability; need flexible scheduling and mobile-friendly content</w:t>
            </w:r>
          </w:p>
        </w:tc>
      </w:tr>
      <w:tr>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Nurses / MAs</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156</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Moderate-High</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Hands-on practice</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Largest group; varied shifts; need guided workflows and keyboard shortcuts</w:t>
            </w:r>
          </w:p>
        </w:tc>
      </w:tr>
      <w:tr>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Admin / Front Desk</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89</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High</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Structured, guided</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Need scheduling-specific workflows; benefit from templates and examples</w:t>
            </w:r>
          </w:p>
        </w:tc>
      </w:tr>
      <w:tr>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Billing / Coding</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34</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High</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Process-oriented</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Compliance-critical; need detailed field mapping and audit trail procedures</w:t>
            </w:r>
          </w:p>
        </w:tc>
      </w:tr>
      <w:tr>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IT Support</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12</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Very High</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Technical deep-dive</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Train-the-trainer candidates; need system architecture and troubleshooting</w:t>
            </w:r>
          </w:p>
        </w:tc>
      </w:tr>
    </w:tbl>
    <w:p>
      <w:pPr>
        <w:pStyle w:val="Heading1"/>
        <w:spacing w:after="120" w:before="360"/>
      </w:pPr>
      <w:r>
        <w:rPr>
          <w:rFonts w:ascii="Arial" w:cs="Arial" w:eastAsia="Arial" w:hAnsi="Arial"/>
          <w:b/>
          <w:bCs/>
          <w:color w:val="1A1A2E"/>
          <w:sz w:val="32"/>
          <w:szCs w:val="32"/>
        </w:rPr>
        <w:t xml:space="preserve">3. Learning Objectives</w:t>
      </w:r>
    </w:p>
    <w:p>
      <w:pPr>
        <w:pStyle w:val="Heading2"/>
        <w:spacing w:after="120" w:before="240"/>
      </w:pPr>
      <w:r>
        <w:rPr>
          <w:rFonts w:ascii="Arial" w:cs="Arial" w:eastAsia="Arial" w:hAnsi="Arial"/>
          <w:b/>
          <w:bCs/>
          <w:color w:val="1A1A2E"/>
          <w:sz w:val="26"/>
          <w:szCs w:val="26"/>
        </w:rPr>
        <w:t xml:space="preserve">3.1 Terminal Objectives</w:t>
      </w:r>
    </w:p>
    <w:p>
      <w:pPr>
        <w:spacing w:after="120"/>
      </w:pPr>
      <w:r>
        <w:rPr>
          <w:rFonts w:ascii="Arial" w:cs="Arial" w:eastAsia="Arial" w:hAnsi="Arial"/>
          <w:color w:val="2D3748"/>
          <w:sz w:val="20"/>
          <w:szCs w:val="20"/>
        </w:rPr>
        <w:t xml:space="preserve">Upon completion of the training program, learners will be able to:</w:t>
      </w:r>
    </w:p>
    <w:p>
      <w:pPr>
        <w:pStyle w:val="ListParagraph"/>
        <w:numPr>
          <w:ilvl w:val="0"/>
          <w:numId w:val="2"/>
        </w:numPr>
        <w:spacing w:after="60"/>
      </w:pPr>
      <w:r>
        <w:rPr>
          <w:rFonts w:ascii="Arial" w:cs="Arial" w:eastAsia="Arial" w:hAnsi="Arial"/>
          <w:color w:val="2D3748"/>
          <w:sz w:val="20"/>
          <w:szCs w:val="20"/>
        </w:rPr>
        <w:t xml:space="preserve">Navigate the MeridianChart interface and locate role-specific functions without assistance.</w:t>
      </w:r>
    </w:p>
    <w:p>
      <w:pPr>
        <w:pStyle w:val="ListParagraph"/>
        <w:numPr>
          <w:ilvl w:val="0"/>
          <w:numId w:val="2"/>
        </w:numPr>
        <w:spacing w:after="60"/>
      </w:pPr>
      <w:r>
        <w:rPr>
          <w:rFonts w:ascii="Arial" w:cs="Arial" w:eastAsia="Arial" w:hAnsi="Arial"/>
          <w:color w:val="2D3748"/>
          <w:sz w:val="20"/>
          <w:szCs w:val="20"/>
        </w:rPr>
        <w:t xml:space="preserve">Complete core workflows (charting, scheduling, order entry, billing) using standardized procedures with fewer than 2 errors per 20 transactions.</w:t>
      </w:r>
    </w:p>
    <w:p>
      <w:pPr>
        <w:pStyle w:val="ListParagraph"/>
        <w:numPr>
          <w:ilvl w:val="0"/>
          <w:numId w:val="2"/>
        </w:numPr>
        <w:spacing w:after="60"/>
      </w:pPr>
      <w:r>
        <w:rPr>
          <w:rFonts w:ascii="Arial" w:cs="Arial" w:eastAsia="Arial" w:hAnsi="Arial"/>
          <w:color w:val="2D3748"/>
          <w:sz w:val="20"/>
          <w:szCs w:val="20"/>
        </w:rPr>
        <w:t xml:space="preserve">Identify and report system issues using the established IT support escalation process.</w:t>
      </w:r>
    </w:p>
    <w:p>
      <w:pPr>
        <w:pStyle w:val="ListParagraph"/>
        <w:numPr>
          <w:ilvl w:val="0"/>
          <w:numId w:val="2"/>
        </w:numPr>
        <w:spacing w:after="60"/>
      </w:pPr>
      <w:r>
        <w:rPr>
          <w:rFonts w:ascii="Arial" w:cs="Arial" w:eastAsia="Arial" w:hAnsi="Arial"/>
          <w:color w:val="2D3748"/>
          <w:sz w:val="20"/>
          <w:szCs w:val="20"/>
        </w:rPr>
        <w:t xml:space="preserve">Apply documentation standards that meet organizational compliance requirements and audit standards.</w:t>
      </w:r>
    </w:p>
    <w:p>
      <w:pPr>
        <w:pStyle w:val="Heading2"/>
        <w:spacing w:after="120" w:before="240"/>
      </w:pPr>
      <w:r>
        <w:rPr>
          <w:rFonts w:ascii="Arial" w:cs="Arial" w:eastAsia="Arial" w:hAnsi="Arial"/>
          <w:b/>
          <w:bCs/>
          <w:color w:val="1A1A2E"/>
          <w:sz w:val="26"/>
          <w:szCs w:val="26"/>
        </w:rPr>
        <w:t xml:space="preserve">3.2 Enabling Objectives</w:t>
      </w:r>
    </w:p>
    <w:p>
      <w:pPr>
        <w:spacing w:after="120"/>
      </w:pPr>
      <w:r>
        <w:rPr>
          <w:rFonts w:ascii="Arial" w:cs="Arial" w:eastAsia="Arial" w:hAnsi="Arial"/>
          <w:color w:val="2D3748"/>
          <w:sz w:val="20"/>
          <w:szCs w:val="20"/>
        </w:rPr>
        <w:t xml:space="preserve">The following enabling objectives support the terminal objectives across modules:</w:t>
      </w:r>
    </w:p>
    <w:p>
      <w:pPr>
        <w:pStyle w:val="ListParagraph"/>
        <w:numPr>
          <w:ilvl w:val="0"/>
          <w:numId w:val="2"/>
        </w:numPr>
        <w:spacing w:after="60"/>
      </w:pPr>
      <w:r>
        <w:rPr>
          <w:rFonts w:ascii="Arial" w:cs="Arial" w:eastAsia="Arial" w:hAnsi="Arial"/>
          <w:color w:val="2D3748"/>
          <w:sz w:val="20"/>
          <w:szCs w:val="20"/>
        </w:rPr>
        <w:t xml:space="preserve">Describe the purpose and business benefits of transitioning to MeridianChart from the legacy system.</w:t>
      </w:r>
    </w:p>
    <w:p>
      <w:pPr>
        <w:pStyle w:val="ListParagraph"/>
        <w:numPr>
          <w:ilvl w:val="0"/>
          <w:numId w:val="2"/>
        </w:numPr>
        <w:spacing w:after="60"/>
      </w:pPr>
      <w:r>
        <w:rPr>
          <w:rFonts w:ascii="Arial" w:cs="Arial" w:eastAsia="Arial" w:hAnsi="Arial"/>
          <w:color w:val="2D3748"/>
          <w:sz w:val="20"/>
          <w:szCs w:val="20"/>
        </w:rPr>
        <w:t xml:space="preserve">Log in, customize the dashboard, and set user preferences to match clinical workflows.</w:t>
      </w:r>
    </w:p>
    <w:p>
      <w:pPr>
        <w:pStyle w:val="ListParagraph"/>
        <w:numPr>
          <w:ilvl w:val="0"/>
          <w:numId w:val="2"/>
        </w:numPr>
        <w:spacing w:after="60"/>
      </w:pPr>
      <w:r>
        <w:rPr>
          <w:rFonts w:ascii="Arial" w:cs="Arial" w:eastAsia="Arial" w:hAnsi="Arial"/>
          <w:color w:val="2D3748"/>
          <w:sz w:val="20"/>
          <w:szCs w:val="20"/>
        </w:rPr>
        <w:t xml:space="preserve">Locate and open a patient record using at least two search methods (global search, advanced filters).</w:t>
      </w:r>
    </w:p>
    <w:p>
      <w:pPr>
        <w:pStyle w:val="ListParagraph"/>
        <w:numPr>
          <w:ilvl w:val="0"/>
          <w:numId w:val="2"/>
        </w:numPr>
        <w:spacing w:after="60"/>
      </w:pPr>
      <w:r>
        <w:rPr>
          <w:rFonts w:ascii="Arial" w:cs="Arial" w:eastAsia="Arial" w:hAnsi="Arial"/>
          <w:color w:val="2D3748"/>
          <w:sz w:val="20"/>
          <w:szCs w:val="20"/>
        </w:rPr>
        <w:t xml:space="preserve">Enter, edit, and save clinical documentation following standardized templates and compliance requirements.</w:t>
      </w:r>
    </w:p>
    <w:p>
      <w:pPr>
        <w:pStyle w:val="ListParagraph"/>
        <w:numPr>
          <w:ilvl w:val="0"/>
          <w:numId w:val="2"/>
        </w:numPr>
        <w:spacing w:after="60"/>
      </w:pPr>
      <w:r>
        <w:rPr>
          <w:rFonts w:ascii="Arial" w:cs="Arial" w:eastAsia="Arial" w:hAnsi="Arial"/>
          <w:color w:val="2D3748"/>
          <w:sz w:val="20"/>
          <w:szCs w:val="20"/>
        </w:rPr>
        <w:t xml:space="preserve">Process scheduling changes including appointments, cancellations, waitlist management, and no-shows.</w:t>
      </w:r>
    </w:p>
    <w:p>
      <w:pPr>
        <w:pStyle w:val="ListParagraph"/>
        <w:numPr>
          <w:ilvl w:val="0"/>
          <w:numId w:val="2"/>
        </w:numPr>
        <w:spacing w:after="60"/>
      </w:pPr>
      <w:r>
        <w:rPr>
          <w:rFonts w:ascii="Arial" w:cs="Arial" w:eastAsia="Arial" w:hAnsi="Arial"/>
          <w:color w:val="2D3748"/>
          <w:sz w:val="20"/>
          <w:szCs w:val="20"/>
        </w:rPr>
        <w:t xml:space="preserve">Submit and track orders, referrals, and prescriptions within the system with appropriate authorization levels.</w:t>
      </w:r>
    </w:p>
    <w:p>
      <w:pPr>
        <w:pStyle w:val="ListParagraph"/>
        <w:numPr>
          <w:ilvl w:val="0"/>
          <w:numId w:val="2"/>
        </w:numPr>
        <w:spacing w:after="60"/>
      </w:pPr>
      <w:r>
        <w:rPr>
          <w:rFonts w:ascii="Arial" w:cs="Arial" w:eastAsia="Arial" w:hAnsi="Arial"/>
          <w:color w:val="2D3748"/>
          <w:sz w:val="20"/>
          <w:szCs w:val="20"/>
        </w:rPr>
        <w:t xml:space="preserve">Generate and interpret standard reports relevant to each role using filtering and export functions.</w:t>
      </w:r>
    </w:p>
    <w:p>
      <w:r>
        <w:br w:type="page"/>
      </w:r>
    </w:p>
    <w:p>
      <w:pPr>
        <w:pStyle w:val="Heading1"/>
        <w:spacing w:after="120" w:before="360"/>
      </w:pPr>
      <w:r>
        <w:rPr>
          <w:rFonts w:ascii="Arial" w:cs="Arial" w:eastAsia="Arial" w:hAnsi="Arial"/>
          <w:b/>
          <w:bCs/>
          <w:color w:val="1A1A2E"/>
          <w:sz w:val="32"/>
          <w:szCs w:val="32"/>
        </w:rPr>
        <w:t xml:space="preserve">4. Instructional Strategy</w:t>
      </w:r>
    </w:p>
    <w:p>
      <w:pPr>
        <w:pStyle w:val="Heading2"/>
        <w:spacing w:after="120" w:before="240"/>
      </w:pPr>
      <w:r>
        <w:rPr>
          <w:rFonts w:ascii="Arial" w:cs="Arial" w:eastAsia="Arial" w:hAnsi="Arial"/>
          <w:b/>
          <w:bCs/>
          <w:color w:val="1A1A2E"/>
          <w:sz w:val="26"/>
          <w:szCs w:val="26"/>
        </w:rPr>
        <w:t xml:space="preserve">4.1 Design Methodology</w:t>
      </w:r>
    </w:p>
    <w:p>
      <w:pPr>
        <w:spacing w:after="120"/>
      </w:pPr>
      <w:r>
        <w:rPr>
          <w:rFonts w:ascii="Arial" w:cs="Arial" w:eastAsia="Arial" w:hAnsi="Arial"/>
          <w:color w:val="2D3748"/>
          <w:sz w:val="20"/>
          <w:szCs w:val="20"/>
        </w:rPr>
        <w:t xml:space="preserve">The training program follows the Successive Approximation Model (SAM), which emphasizes iterative design, rapid prototyping, and continuous stakeholder feedback. SAM was selected because of the tight development timeline and the need for content that closely mirrors actual clinical workflows and organizational processes. This approach allows for rapid cycles of build-review-revise with stakeholder input at every stage.</w:t>
      </w:r>
    </w:p>
    <w:p>
      <w:pPr>
        <w:pStyle w:val="Heading2"/>
        <w:spacing w:after="120" w:before="240"/>
      </w:pPr>
      <w:r>
        <w:rPr>
          <w:rFonts w:ascii="Arial" w:cs="Arial" w:eastAsia="Arial" w:hAnsi="Arial"/>
          <w:b/>
          <w:bCs/>
          <w:color w:val="1A1A2E"/>
          <w:sz w:val="26"/>
          <w:szCs w:val="26"/>
        </w:rPr>
        <w:t xml:space="preserve">4.2 Blended Learning Model</w:t>
      </w:r>
    </w:p>
    <w:p>
      <w:pPr>
        <w:spacing w:after="120"/>
      </w:pPr>
      <w:r>
        <w:rPr>
          <w:rFonts w:ascii="Arial" w:cs="Arial" w:eastAsia="Arial" w:hAnsi="Arial"/>
          <w:color w:val="2D3748"/>
          <w:sz w:val="20"/>
          <w:szCs w:val="20"/>
        </w:rPr>
        <w:t xml:space="preserve">The program uses a blended approach combining three delivery methods:</w:t>
      </w:r>
    </w:p>
    <w:p>
      <w:pPr>
        <w:pStyle w:val="ListParagraph"/>
        <w:numPr>
          <w:ilvl w:val="0"/>
          <w:numId w:val="2"/>
        </w:numPr>
        <w:spacing w:after="60"/>
      </w:pPr>
      <w:r>
        <w:rPr>
          <w:rFonts w:ascii="Arial" w:cs="Arial" w:eastAsia="Arial" w:hAnsi="Arial"/>
          <w:b/>
          <w:bCs/>
          <w:color w:val="2D3748"/>
          <w:sz w:val="20"/>
          <w:szCs w:val="20"/>
        </w:rPr>
        <w:t xml:space="preserve">eLearning Modules (Articulate Storyline 360): </w:t>
      </w:r>
      <w:r>
        <w:rPr>
          <w:rFonts w:ascii="Arial" w:cs="Arial" w:eastAsia="Arial" w:hAnsi="Arial"/>
          <w:color w:val="2D3748"/>
          <w:sz w:val="20"/>
          <w:szCs w:val="20"/>
        </w:rPr>
        <w:t xml:space="preserve">Self-paced, role-specific courses delivered through HealthLearn (LMS). These cover foundational knowledge, system navigation, and conceptual understanding using interactive demonstrations and practice activities.</w:t>
      </w:r>
    </w:p>
    <w:p>
      <w:pPr>
        <w:pStyle w:val="ListParagraph"/>
        <w:numPr>
          <w:ilvl w:val="0"/>
          <w:numId w:val="2"/>
        </w:numPr>
        <w:spacing w:after="60"/>
      </w:pPr>
      <w:r>
        <w:rPr>
          <w:rFonts w:ascii="Arial" w:cs="Arial" w:eastAsia="Arial" w:hAnsi="Arial"/>
          <w:b/>
          <w:bCs/>
          <w:color w:val="2D3748"/>
          <w:sz w:val="20"/>
          <w:szCs w:val="20"/>
        </w:rPr>
        <w:t xml:space="preserve">Instructor-Led Practice Sessions (Virtual + In-Person): </w:t>
      </w:r>
      <w:r>
        <w:rPr>
          <w:rFonts w:ascii="Arial" w:cs="Arial" w:eastAsia="Arial" w:hAnsi="Arial"/>
          <w:color w:val="2D3748"/>
          <w:sz w:val="20"/>
          <w:szCs w:val="20"/>
        </w:rPr>
        <w:t xml:space="preserve">Synchronous sessions using a sandbox environment for hands-on practice with guided scenarios, real-time feedback, and collaborative problem-solving led by peer champions and L&amp;D staff.</w:t>
      </w:r>
    </w:p>
    <w:p>
      <w:pPr>
        <w:pStyle w:val="ListParagraph"/>
        <w:numPr>
          <w:ilvl w:val="0"/>
          <w:numId w:val="2"/>
        </w:numPr>
        <w:spacing w:after="60"/>
      </w:pPr>
      <w:r>
        <w:rPr>
          <w:rFonts w:ascii="Arial" w:cs="Arial" w:eastAsia="Arial" w:hAnsi="Arial"/>
          <w:b/>
          <w:bCs/>
          <w:color w:val="2D3748"/>
          <w:sz w:val="20"/>
          <w:szCs w:val="20"/>
        </w:rPr>
        <w:t xml:space="preserve">Performance Support Resources (Adobe Creative Cloud, Camtasia): </w:t>
      </w:r>
      <w:r>
        <w:rPr>
          <w:rFonts w:ascii="Arial" w:cs="Arial" w:eastAsia="Arial" w:hAnsi="Arial"/>
          <w:color w:val="2D3748"/>
          <w:sz w:val="20"/>
          <w:szCs w:val="20"/>
        </w:rPr>
        <w:t xml:space="preserve">Job aids, quick reference guides, video tutorials, and checklists accessible at the point of need during and after go-live to support retention and reduce help desk volume.</w:t>
      </w:r>
    </w:p>
    <w:p>
      <w:pPr>
        <w:pStyle w:val="Heading2"/>
        <w:spacing w:after="120" w:before="240"/>
      </w:pPr>
      <w:r>
        <w:rPr>
          <w:rFonts w:ascii="Arial" w:cs="Arial" w:eastAsia="Arial" w:hAnsi="Arial"/>
          <w:b/>
          <w:bCs/>
          <w:color w:val="1A1A2E"/>
          <w:sz w:val="26"/>
          <w:szCs w:val="26"/>
        </w:rPr>
        <w:t xml:space="preserve">4.3 Gagné's Nine Events of Instruction</w:t>
      </w:r>
    </w:p>
    <w:p>
      <w:pPr>
        <w:spacing w:after="120"/>
      </w:pPr>
      <w:r>
        <w:rPr>
          <w:rFonts w:ascii="Arial" w:cs="Arial" w:eastAsia="Arial" w:hAnsi="Arial"/>
          <w:color w:val="2D3748"/>
          <w:sz w:val="20"/>
          <w:szCs w:val="20"/>
        </w:rPr>
        <w:t xml:space="preserve">Each eLearning module is structured around Gagné's Nine Events of Instruction to maximize learning retention and transfer: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Event</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Application</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Example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Assessment</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 Gain Attention</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Scenario-based opening relevant to role</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Day-in-the-life video of a nurse using MeridianChart</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Engagement metric tracked</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2. Inform Objectives</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Clear learning goals on title slide</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'Upon completion, you will be able to...' (observable, measurable)</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Objectives remain accessible throughout lesson</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3. Stimulate Recall</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Connect to existing knowledge and workflows</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'You currently do this in the old system. Here's how it maps to MeridianChart.'</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Confidence check: 'Have you done this before?'</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4. Present Content</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Chunked, role-specific content with visuals</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Step-by-step workflow demonstrations with annotated screenshots</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Comprehension questions after each section</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5. Provide Guidance</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Guided practice with scaffolded hints and coaching</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Interactive try-it with on-screen coaching: 'Type the patient's MRN to search.'</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Hint system tracks attempts; feedback provided</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6. Elicit Performance</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Practice activities requiring active application</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Complete a charting scenario independently with realistic patient data</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Performance tracked: completion, time, errors</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7. Provide Feedback</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Immediate, specific, actionable feedback</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'Correct! You selected the right order set for a lab order. Next, set the urgency.'</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Feedback effectiveness: did it improve next attempt?</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8. Assess Performance</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Scenario-based summative assessments</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End-of-module simulation: complete a full patient encounter (80% pass required)</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Pass rate per module; remediation offered</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9. Enhance Retention</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Summary, reflection, job aids, follow-up</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Downloadable quick reference guide; 'Saved to your device and HealthLearn.'</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Usage analytics: how often are job aids accessed?</w:t>
            </w:r>
          </w:p>
        </w:tc>
      </w:tr>
    </w:tbl>
    <w:p>
      <w:r>
        <w:br w:type="page"/>
      </w:r>
    </w:p>
    <w:p>
      <w:pPr>
        <w:pStyle w:val="Heading1"/>
        <w:spacing w:after="120" w:before="360"/>
      </w:pPr>
      <w:r>
        <w:rPr>
          <w:rFonts w:ascii="Arial" w:cs="Arial" w:eastAsia="Arial" w:hAnsi="Arial"/>
          <w:b/>
          <w:bCs/>
          <w:color w:val="1A1A2E"/>
          <w:sz w:val="32"/>
          <w:szCs w:val="32"/>
        </w:rPr>
        <w:t xml:space="preserve">5. Content Structure</w:t>
      </w:r>
    </w:p>
    <w:p>
      <w:pPr>
        <w:spacing w:after="120"/>
      </w:pPr>
      <w:r>
        <w:rPr>
          <w:rFonts w:ascii="Arial" w:cs="Arial" w:eastAsia="Arial" w:hAnsi="Arial"/>
          <w:color w:val="2D3748"/>
          <w:sz w:val="20"/>
          <w:szCs w:val="20"/>
        </w:rPr>
        <w:t xml:space="preserve">The training program is organized into five modules, each targeting specific role groups and competencies: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2400"/>
        <w:gridCol w:w="2160"/>
        <w:gridCol w:w="2100"/>
        <w:gridCol w:w="1740"/>
      </w:tblGrid>
      <w:tr>
        <w:tc>
          <w:tcPr>
            <w:tcW w:type="dxa" w:w="6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w:t>
            </w:r>
          </w:p>
        </w:tc>
        <w:tc>
          <w:tcPr>
            <w:tcW w:type="dxa" w:w="24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Module Title</w:t>
            </w:r>
          </w:p>
        </w:tc>
        <w:tc>
          <w:tcPr>
            <w:tcW w:type="dxa" w:w="216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Target Audience</w:t>
            </w:r>
          </w:p>
        </w:tc>
        <w:tc>
          <w:tcPr>
            <w:tcW w:type="dxa" w:w="21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Delivery</w:t>
            </w:r>
          </w:p>
        </w:tc>
        <w:tc>
          <w:tcPr>
            <w:tcW w:type="dxa" w:w="17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Duration</w:t>
            </w:r>
          </w:p>
        </w:tc>
      </w:tr>
      <w:tr>
        <w:tc>
          <w:tcPr>
            <w:tcW w:type="dxa" w:w="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w:t>
            </w:r>
          </w:p>
        </w:tc>
        <w:tc>
          <w:tcPr>
            <w:tcW w:type="dxa" w:w="24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MeridianChart Orientation</w:t>
            </w:r>
          </w:p>
        </w:tc>
        <w:tc>
          <w:tcPr>
            <w:tcW w:type="dxa" w:w="2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All staff (339)</w:t>
            </w:r>
          </w:p>
        </w:tc>
        <w:tc>
          <w:tcPr>
            <w:tcW w:type="dxa" w:w="21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eLearning</w:t>
            </w:r>
          </w:p>
        </w:tc>
        <w:tc>
          <w:tcPr>
            <w:tcW w:type="dxa" w:w="17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45 min</w:t>
            </w:r>
          </w:p>
        </w:tc>
      </w:tr>
      <w:tr>
        <w:tc>
          <w:tcPr>
            <w:tcW w:type="dxa" w:w="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2</w:t>
            </w:r>
          </w:p>
        </w:tc>
        <w:tc>
          <w:tcPr>
            <w:tcW w:type="dxa" w:w="24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Clinical Documentation</w:t>
            </w:r>
          </w:p>
        </w:tc>
        <w:tc>
          <w:tcPr>
            <w:tcW w:type="dxa" w:w="2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Physicians, Nurses/MAs (204)</w:t>
            </w:r>
          </w:p>
        </w:tc>
        <w:tc>
          <w:tcPr>
            <w:tcW w:type="dxa" w:w="21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eLearning + ILT</w:t>
            </w:r>
          </w:p>
        </w:tc>
        <w:tc>
          <w:tcPr>
            <w:tcW w:type="dxa" w:w="17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3 hours</w:t>
            </w:r>
          </w:p>
        </w:tc>
      </w:tr>
      <w:tr>
        <w:tc>
          <w:tcPr>
            <w:tcW w:type="dxa" w:w="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3</w:t>
            </w:r>
          </w:p>
        </w:tc>
        <w:tc>
          <w:tcPr>
            <w:tcW w:type="dxa" w:w="24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Scheduling &amp; Front Desk</w:t>
            </w:r>
          </w:p>
        </w:tc>
        <w:tc>
          <w:tcPr>
            <w:tcW w:type="dxa" w:w="2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Admin/Front Desk (89)</w:t>
            </w:r>
          </w:p>
        </w:tc>
        <w:tc>
          <w:tcPr>
            <w:tcW w:type="dxa" w:w="21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eLearning + ILT</w:t>
            </w:r>
          </w:p>
        </w:tc>
        <w:tc>
          <w:tcPr>
            <w:tcW w:type="dxa" w:w="17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2.5 hrs</w:t>
            </w:r>
          </w:p>
        </w:tc>
      </w:tr>
      <w:tr>
        <w:tc>
          <w:tcPr>
            <w:tcW w:type="dxa" w:w="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4</w:t>
            </w:r>
          </w:p>
        </w:tc>
        <w:tc>
          <w:tcPr>
            <w:tcW w:type="dxa" w:w="24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Billing &amp; Claims</w:t>
            </w:r>
          </w:p>
        </w:tc>
        <w:tc>
          <w:tcPr>
            <w:tcW w:type="dxa" w:w="2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Billing/Coding (34)</w:t>
            </w:r>
          </w:p>
        </w:tc>
        <w:tc>
          <w:tcPr>
            <w:tcW w:type="dxa" w:w="21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eLearning + ILT</w:t>
            </w:r>
          </w:p>
        </w:tc>
        <w:tc>
          <w:tcPr>
            <w:tcW w:type="dxa" w:w="17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3 hours</w:t>
            </w:r>
          </w:p>
        </w:tc>
      </w:tr>
      <w:tr>
        <w:tc>
          <w:tcPr>
            <w:tcW w:type="dxa" w:w="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5</w:t>
            </w:r>
          </w:p>
        </w:tc>
        <w:tc>
          <w:tcPr>
            <w:tcW w:type="dxa" w:w="24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System Administration</w:t>
            </w:r>
          </w:p>
        </w:tc>
        <w:tc>
          <w:tcPr>
            <w:tcW w:type="dxa" w:w="2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IT Support (12)</w:t>
            </w:r>
          </w:p>
        </w:tc>
        <w:tc>
          <w:tcPr>
            <w:tcW w:type="dxa" w:w="21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Vendor + internal</w:t>
            </w:r>
          </w:p>
        </w:tc>
        <w:tc>
          <w:tcPr>
            <w:tcW w:type="dxa" w:w="17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16 hours</w:t>
            </w:r>
          </w:p>
        </w:tc>
      </w:tr>
    </w:tbl>
    <w:p>
      <w:pPr>
        <w:pStyle w:val="Heading2"/>
        <w:spacing w:after="120" w:before="240"/>
      </w:pPr>
      <w:r>
        <w:rPr>
          <w:rFonts w:ascii="Arial" w:cs="Arial" w:eastAsia="Arial" w:hAnsi="Arial"/>
          <w:b/>
          <w:bCs/>
          <w:color w:val="1A1A2E"/>
          <w:sz w:val="26"/>
          <w:szCs w:val="26"/>
        </w:rPr>
        <w:t xml:space="preserve">5.1 Module 2 Detail: Clinical Documentation</w:t>
      </w:r>
    </w:p>
    <w:p>
      <w:pPr>
        <w:spacing w:after="120"/>
      </w:pPr>
      <w:r>
        <w:rPr>
          <w:rFonts w:ascii="Arial" w:cs="Arial" w:eastAsia="Arial" w:hAnsi="Arial"/>
          <w:color w:val="2D3748"/>
          <w:sz w:val="20"/>
          <w:szCs w:val="20"/>
        </w:rPr>
        <w:t xml:space="preserve">As an example of the content design approach, Module 2 is outlined below: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4680"/>
        <w:gridCol w:w="2340"/>
      </w:tblGrid>
      <w:tr>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Lesson</w:t>
            </w:r>
          </w:p>
        </w:tc>
        <w:tc>
          <w:tcPr>
            <w:tcW w:type="dxa" w:w="468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Content Topics</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Duration</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2.1 Patient Records</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Opening records; searching by name/MRN; navigating chart structure; demographic vs. clinical sections</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30 min</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2.2 Charting Workflows</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Standard templates; SOAP notes; vital sign entry; problem lists; assessment and plan</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45 min</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2.3 Orders &amp; Referrals</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Placing orders; selecting order sets; referral workflows; prescription e-signing; tracking</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30 min</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2.4 Hands-On Practice</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Guided sandbox exercise: complete a full patient encounter with coaching</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45 min</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2.5 Assessment</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Scenario-based competency check (4 different patient scenarios; 80% pass required)</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30 min</w:t>
            </w:r>
          </w:p>
        </w:tc>
      </w:tr>
    </w:tbl>
    <w:p>
      <w:r>
        <w:br w:type="page"/>
      </w:r>
    </w:p>
    <w:p>
      <w:pPr>
        <w:pStyle w:val="Heading1"/>
        <w:spacing w:after="120" w:before="360"/>
      </w:pPr>
      <w:r>
        <w:rPr>
          <w:rFonts w:ascii="Arial" w:cs="Arial" w:eastAsia="Arial" w:hAnsi="Arial"/>
          <w:b/>
          <w:bCs/>
          <w:color w:val="1A1A2E"/>
          <w:sz w:val="32"/>
          <w:szCs w:val="32"/>
        </w:rPr>
        <w:t xml:space="preserve">6. Assessment Strategy</w:t>
      </w:r>
    </w:p>
    <w:p>
      <w:pPr>
        <w:pStyle w:val="Heading2"/>
        <w:spacing w:after="120" w:before="240"/>
      </w:pPr>
      <w:r>
        <w:rPr>
          <w:rFonts w:ascii="Arial" w:cs="Arial" w:eastAsia="Arial" w:hAnsi="Arial"/>
          <w:b/>
          <w:bCs/>
          <w:color w:val="1A1A2E"/>
          <w:sz w:val="26"/>
          <w:szCs w:val="26"/>
        </w:rPr>
        <w:t xml:space="preserve">6.1 Formative Assessment</w:t>
      </w:r>
    </w:p>
    <w:p>
      <w:pPr>
        <w:pStyle w:val="ListParagraph"/>
        <w:numPr>
          <w:ilvl w:val="0"/>
          <w:numId w:val="2"/>
        </w:numPr>
        <w:spacing w:after="60"/>
      </w:pPr>
      <w:r>
        <w:rPr>
          <w:rFonts w:ascii="Arial" w:cs="Arial" w:eastAsia="Arial" w:hAnsi="Arial"/>
          <w:color w:val="2D3748"/>
          <w:sz w:val="20"/>
          <w:szCs w:val="20"/>
        </w:rPr>
        <w:t xml:space="preserve">Knowledge checks embedded throughout each eLearning module (minimum 2 per lesson; multiple-choice and scenario-based).</w:t>
      </w:r>
    </w:p>
    <w:p>
      <w:pPr>
        <w:pStyle w:val="ListParagraph"/>
        <w:numPr>
          <w:ilvl w:val="0"/>
          <w:numId w:val="2"/>
        </w:numPr>
        <w:spacing w:after="60"/>
      </w:pPr>
      <w:r>
        <w:rPr>
          <w:rFonts w:ascii="Arial" w:cs="Arial" w:eastAsia="Arial" w:hAnsi="Arial"/>
          <w:color w:val="2D3748"/>
          <w:sz w:val="20"/>
          <w:szCs w:val="20"/>
        </w:rPr>
        <w:t xml:space="preserve">Practice activities in the sandbox environment with guided feedback, coaching hints, and performance tracking.</w:t>
      </w:r>
    </w:p>
    <w:p>
      <w:pPr>
        <w:pStyle w:val="ListParagraph"/>
        <w:numPr>
          <w:ilvl w:val="0"/>
          <w:numId w:val="2"/>
        </w:numPr>
        <w:spacing w:after="60"/>
      </w:pPr>
      <w:r>
        <w:rPr>
          <w:rFonts w:ascii="Arial" w:cs="Arial" w:eastAsia="Arial" w:hAnsi="Arial"/>
          <w:color w:val="2D3748"/>
          <w:sz w:val="20"/>
          <w:szCs w:val="20"/>
        </w:rPr>
        <w:t xml:space="preserve">Self-assessment checklists for learners to track their own progress against learning objectives.</w:t>
      </w:r>
    </w:p>
    <w:p>
      <w:pPr>
        <w:pStyle w:val="ListParagraph"/>
        <w:numPr>
          <w:ilvl w:val="0"/>
          <w:numId w:val="2"/>
        </w:numPr>
        <w:spacing w:after="60"/>
      </w:pPr>
      <w:r>
        <w:rPr>
          <w:rFonts w:ascii="Arial" w:cs="Arial" w:eastAsia="Arial" w:hAnsi="Arial"/>
          <w:color w:val="2D3748"/>
          <w:sz w:val="20"/>
          <w:szCs w:val="20"/>
        </w:rPr>
        <w:t xml:space="preserve">Peer feedback during instructor-led practice sessions via observation rubrics and peer champion coaching.</w:t>
      </w:r>
    </w:p>
    <w:p>
      <w:pPr>
        <w:pStyle w:val="Heading2"/>
        <w:spacing w:after="120" w:before="240"/>
      </w:pPr>
      <w:r>
        <w:rPr>
          <w:rFonts w:ascii="Arial" w:cs="Arial" w:eastAsia="Arial" w:hAnsi="Arial"/>
          <w:b/>
          <w:bCs/>
          <w:color w:val="1A1A2E"/>
          <w:sz w:val="26"/>
          <w:szCs w:val="26"/>
        </w:rPr>
        <w:t xml:space="preserve">6.2 Summative Assessment</w:t>
      </w:r>
    </w:p>
    <w:p>
      <w:pPr>
        <w:pStyle w:val="ListParagraph"/>
        <w:numPr>
          <w:ilvl w:val="0"/>
          <w:numId w:val="2"/>
        </w:numPr>
        <w:spacing w:after="60"/>
      </w:pPr>
      <w:r>
        <w:rPr>
          <w:rFonts w:ascii="Arial" w:cs="Arial" w:eastAsia="Arial" w:hAnsi="Arial"/>
          <w:color w:val="2D3748"/>
          <w:sz w:val="20"/>
          <w:szCs w:val="20"/>
        </w:rPr>
        <w:t xml:space="preserve">End-of-module scenario-based assessments requiring learners to complete realistic tasks with 80% accuracy threshold.</w:t>
      </w:r>
    </w:p>
    <w:p>
      <w:pPr>
        <w:pStyle w:val="ListParagraph"/>
        <w:numPr>
          <w:ilvl w:val="0"/>
          <w:numId w:val="2"/>
        </w:numPr>
        <w:spacing w:after="60"/>
      </w:pPr>
      <w:r>
        <w:rPr>
          <w:rFonts w:ascii="Arial" w:cs="Arial" w:eastAsia="Arial" w:hAnsi="Arial"/>
          <w:color w:val="2D3748"/>
          <w:sz w:val="20"/>
          <w:szCs w:val="20"/>
        </w:rPr>
        <w:t xml:space="preserve">Learners scoring below 80% receive targeted remediation (focused review + one additional attempt).</w:t>
      </w:r>
    </w:p>
    <w:p>
      <w:pPr>
        <w:pStyle w:val="ListParagraph"/>
        <w:numPr>
          <w:ilvl w:val="0"/>
          <w:numId w:val="2"/>
        </w:numPr>
        <w:spacing w:after="60"/>
      </w:pPr>
      <w:r>
        <w:rPr>
          <w:rFonts w:ascii="Arial" w:cs="Arial" w:eastAsia="Arial" w:hAnsi="Arial"/>
          <w:color w:val="2D3748"/>
          <w:sz w:val="20"/>
          <w:szCs w:val="20"/>
        </w:rPr>
        <w:t xml:space="preserve">Competency sign-off by department leads during pilot phase for critical workflows (charting accuracy, order entry).</w:t>
      </w:r>
    </w:p>
    <w:p>
      <w:pPr>
        <w:pStyle w:val="Heading2"/>
        <w:spacing w:after="120" w:before="240"/>
      </w:pPr>
      <w:r>
        <w:rPr>
          <w:rFonts w:ascii="Arial" w:cs="Arial" w:eastAsia="Arial" w:hAnsi="Arial"/>
          <w:b/>
          <w:bCs/>
          <w:color w:val="1A1A2E"/>
          <w:sz w:val="26"/>
          <w:szCs w:val="26"/>
        </w:rPr>
        <w:t xml:space="preserve">6.3 Assessment Alignment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Learning Objective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Assessment Method</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Success Criteria</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Kirkpatrick Level</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Navigate interface without assistance</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Timed navigation exercise</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Complete 5 tasks in under 3 min</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Level 2 (Learning)</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Complete charting workflows</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Scenario simulation (4 scenarios)</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&lt; 2 errors per patient encounter</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Level 2 &amp; 3 (Behavior)</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Process scheduling tasks</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Task-based performance test</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100% accuracy on appointment creation</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Level 2 &amp; 3 (Behavior)</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Report system issues</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Demonstration + scenario</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Correct escalation path identified</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Level 2 (Learning)</w:t>
            </w:r>
          </w:p>
        </w:tc>
      </w:tr>
    </w:tbl>
    <w:p>
      <w:r>
        <w:br w:type="page"/>
      </w:r>
    </w:p>
    <w:p>
      <w:pPr>
        <w:pStyle w:val="Heading1"/>
        <w:spacing w:after="120" w:before="360"/>
      </w:pPr>
      <w:r>
        <w:rPr>
          <w:rFonts w:ascii="Arial" w:cs="Arial" w:eastAsia="Arial" w:hAnsi="Arial"/>
          <w:b/>
          <w:bCs/>
          <w:color w:val="1A1A2E"/>
          <w:sz w:val="32"/>
          <w:szCs w:val="32"/>
        </w:rPr>
        <w:t xml:space="preserve">7. User Interface and Visual Design</w:t>
      </w:r>
    </w:p>
    <w:p>
      <w:pPr>
        <w:pStyle w:val="Heading2"/>
        <w:spacing w:after="120" w:before="240"/>
      </w:pPr>
      <w:r>
        <w:rPr>
          <w:rFonts w:ascii="Arial" w:cs="Arial" w:eastAsia="Arial" w:hAnsi="Arial"/>
          <w:b/>
          <w:bCs/>
          <w:color w:val="1A1A2E"/>
          <w:sz w:val="26"/>
          <w:szCs w:val="26"/>
        </w:rPr>
        <w:t xml:space="preserve">7.1 eLearning Design Standards</w:t>
      </w:r>
    </w:p>
    <w:p>
      <w:pPr>
        <w:pStyle w:val="ListParagraph"/>
        <w:numPr>
          <w:ilvl w:val="0"/>
          <w:numId w:val="2"/>
        </w:numPr>
        <w:spacing w:after="60"/>
      </w:pPr>
      <w:r>
        <w:rPr>
          <w:rFonts w:ascii="Arial" w:cs="Arial" w:eastAsia="Arial" w:hAnsi="Arial"/>
          <w:color w:val="2D3748"/>
          <w:sz w:val="20"/>
          <w:szCs w:val="20"/>
        </w:rPr>
        <w:t xml:space="preserve">Authoring Tool: Articulate Storyline 360 (SCORM 1.2 compliant, accessibility features).</w:t>
      </w:r>
    </w:p>
    <w:p>
      <w:pPr>
        <w:pStyle w:val="ListParagraph"/>
        <w:numPr>
          <w:ilvl w:val="0"/>
          <w:numId w:val="2"/>
        </w:numPr>
        <w:spacing w:after="60"/>
      </w:pPr>
      <w:r>
        <w:rPr>
          <w:rFonts w:ascii="Arial" w:cs="Arial" w:eastAsia="Arial" w:hAnsi="Arial"/>
          <w:color w:val="2D3748"/>
          <w:sz w:val="20"/>
          <w:szCs w:val="20"/>
        </w:rPr>
        <w:t xml:space="preserve">Resolution: 1920 x 1080 (16:9 widescreen) for optimal desktop and tablet viewing.</w:t>
      </w:r>
    </w:p>
    <w:p>
      <w:pPr>
        <w:pStyle w:val="ListParagraph"/>
        <w:numPr>
          <w:ilvl w:val="0"/>
          <w:numId w:val="2"/>
        </w:numPr>
        <w:spacing w:after="60"/>
      </w:pPr>
      <w:r>
        <w:rPr>
          <w:rFonts w:ascii="Arial" w:cs="Arial" w:eastAsia="Arial" w:hAnsi="Arial"/>
          <w:color w:val="2D3748"/>
          <w:sz w:val="20"/>
          <w:szCs w:val="20"/>
        </w:rPr>
        <w:t xml:space="preserve">Navigation: Linear with menu access; learners can review completed sections but not skip ahead until prerequisites met.</w:t>
      </w:r>
    </w:p>
    <w:p>
      <w:pPr>
        <w:pStyle w:val="ListParagraph"/>
        <w:numPr>
          <w:ilvl w:val="0"/>
          <w:numId w:val="2"/>
        </w:numPr>
        <w:spacing w:after="60"/>
      </w:pPr>
      <w:r>
        <w:rPr>
          <w:rFonts w:ascii="Arial" w:cs="Arial" w:eastAsia="Arial" w:hAnsi="Arial"/>
          <w:color w:val="2D3748"/>
          <w:sz w:val="20"/>
          <w:szCs w:val="20"/>
        </w:rPr>
        <w:t xml:space="preserve">Accessibility: WCAG 2.1 AA compliant; closed captions on all narration; keyboard navigation supported; screen reader tested with NVDA.</w:t>
      </w:r>
    </w:p>
    <w:p>
      <w:pPr>
        <w:pStyle w:val="Heading2"/>
        <w:spacing w:after="120" w:before="240"/>
      </w:pPr>
      <w:r>
        <w:rPr>
          <w:rFonts w:ascii="Arial" w:cs="Arial" w:eastAsia="Arial" w:hAnsi="Arial"/>
          <w:b/>
          <w:bCs/>
          <w:color w:val="1A1A2E"/>
          <w:sz w:val="26"/>
          <w:szCs w:val="26"/>
        </w:rPr>
        <w:t xml:space="preserve">7.2 Visual Standards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Element</w:t>
            </w:r>
          </w:p>
        </w:tc>
        <w:tc>
          <w:tcPr>
            <w:tcW w:type="dxa" w:w="62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Standard</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Primary Font</w:t>
            </w:r>
          </w:p>
        </w:tc>
        <w:tc>
          <w:tcPr>
            <w:tcW w:type="dxa" w:w="62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Arial - body text 16pt, headings 24-28pt bold, contrast ratio 4.5:1</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Color Palette</w:t>
            </w:r>
          </w:p>
        </w:tc>
        <w:tc>
          <w:tcPr>
            <w:tcW w:type="dxa" w:w="62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Primary: #1A1A2E (navy), Accent: #3282B8 (blue), Success: #28A745, Alert: #DC3545</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Photography</w:t>
            </w:r>
          </w:p>
        </w:tc>
        <w:tc>
          <w:tcPr>
            <w:tcW w:type="dxa" w:w="62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Authentic healthcare settings; diverse representation; no cliched stock photos</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Icons</w:t>
            </w:r>
          </w:p>
        </w:tc>
        <w:tc>
          <w:tcPr>
            <w:tcW w:type="dxa" w:w="62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Line-style, consistent 1.5pt stroke weight; 24x24px for inline, 48x48px for feature</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Screenshots</w:t>
            </w:r>
          </w:p>
        </w:tc>
        <w:tc>
          <w:tcPr>
            <w:tcW w:type="dxa" w:w="62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Annotated with blue (#3282B8) callouts and numbered steps; action areas highlighted</w:t>
            </w:r>
          </w:p>
        </w:tc>
      </w:tr>
    </w:tbl>
    <w:p>
      <w:pPr>
        <w:pStyle w:val="Heading1"/>
        <w:spacing w:after="120" w:before="360"/>
      </w:pPr>
      <w:r>
        <w:rPr>
          <w:rFonts w:ascii="Arial" w:cs="Arial" w:eastAsia="Arial" w:hAnsi="Arial"/>
          <w:b/>
          <w:bCs/>
          <w:color w:val="1A1A2E"/>
          <w:sz w:val="32"/>
          <w:szCs w:val="32"/>
        </w:rPr>
        <w:t xml:space="preserve">8. Technical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Requirement</w:t>
            </w:r>
          </w:p>
        </w:tc>
        <w:tc>
          <w:tcPr>
            <w:tcW w:type="dxa" w:w="62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Specification</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LMS</w:t>
            </w:r>
          </w:p>
        </w:tc>
        <w:tc>
          <w:tcPr>
            <w:tcW w:type="dxa" w:w="62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HealthLearn (SCORM 1.2 compliant with xAPI optional for enhanced analytics)</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Browser Support</w:t>
            </w:r>
          </w:p>
        </w:tc>
        <w:tc>
          <w:tcPr>
            <w:tcW w:type="dxa" w:w="62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Chrome 90+, Edge 90+, Safari 16+, Firefox 88+ (latest versions)</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Bandwidth</w:t>
            </w:r>
          </w:p>
        </w:tc>
        <w:tc>
          <w:tcPr>
            <w:tcW w:type="dxa" w:w="62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Minimum 5 Mbps for video streaming; content optimized for 2 Mbps fallback</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Sandbox Access</w:t>
            </w:r>
          </w:p>
        </w:tc>
        <w:tc>
          <w:tcPr>
            <w:tcW w:type="dxa" w:w="62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MeridianChart training environment with sample patient data (anonymized HIPAA-compliant)</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Audio/Video</w:t>
            </w:r>
          </w:p>
        </w:tc>
        <w:tc>
          <w:tcPr>
            <w:tcW w:type="dxa" w:w="62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Optional narration with closed captions; all content functional without audio</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Mobile Support</w:t>
            </w:r>
          </w:p>
        </w:tc>
        <w:tc>
          <w:tcPr>
            <w:tcW w:type="dxa" w:w="62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Responsive design; mobile-optimized for tablets; smartphone support for review only</w:t>
            </w:r>
          </w:p>
        </w:tc>
      </w:tr>
    </w:tbl>
    <w:p>
      <w:r>
        <w:br w:type="page"/>
      </w:r>
    </w:p>
    <w:p>
      <w:pPr>
        <w:pStyle w:val="Heading1"/>
        <w:spacing w:after="120" w:before="360"/>
      </w:pPr>
      <w:r>
        <w:rPr>
          <w:rFonts w:ascii="Arial" w:cs="Arial" w:eastAsia="Arial" w:hAnsi="Arial"/>
          <w:b/>
          <w:bCs/>
          <w:color w:val="1A1A2E"/>
          <w:sz w:val="32"/>
          <w:szCs w:val="32"/>
        </w:rPr>
        <w:t xml:space="preserve">9. Development Timeline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4680"/>
        <w:gridCol w:w="2340"/>
      </w:tblGrid>
      <w:tr>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Phase</w:t>
            </w:r>
          </w:p>
        </w:tc>
        <w:tc>
          <w:tcPr>
            <w:tcW w:type="dxa" w:w="468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Activities</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Target Date</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Design</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Finalize design docs, storyboards, prototypes, and feedback loops</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Apr–May 2026</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Alpha Build</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Develop Module 1 &amp; 2; initial SME review and feedback integration</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May–Jun 2026</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Beta Build</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Develop Modules 3, 4, 5; stakeholder review; refinement</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Jun–Jul 2026</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QA / Pilot</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QA testing (functionality, accessibility, SCORM); pilot with 2 clinics</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Jul–Aug 2026</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Final Release</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LMS deployment; go-live support materials; training completion tracking</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Aug 2026</w:t>
            </w:r>
          </w:p>
        </w:tc>
      </w:tr>
    </w:tbl>
    <w:p>
      <w:pPr>
        <w:pStyle w:val="Heading1"/>
        <w:spacing w:after="120" w:before="360"/>
      </w:pPr>
      <w:r>
        <w:rPr>
          <w:rFonts w:ascii="Arial" w:cs="Arial" w:eastAsia="Arial" w:hAnsi="Arial"/>
          <w:b/>
          <w:bCs/>
          <w:color w:val="1A1A2E"/>
          <w:sz w:val="32"/>
          <w:szCs w:val="32"/>
        </w:rPr>
        <w:t xml:space="preserve">10. Review and Approval Process</w:t>
      </w:r>
    </w:p>
    <w:p>
      <w:pPr>
        <w:spacing w:after="120"/>
      </w:pPr>
      <w:r>
        <w:rPr>
          <w:rFonts w:ascii="Arial" w:cs="Arial" w:eastAsia="Arial" w:hAnsi="Arial"/>
          <w:color w:val="2D3748"/>
          <w:sz w:val="20"/>
          <w:szCs w:val="20"/>
        </w:rPr>
        <w:t xml:space="preserve">All content will follow a three-stage iterative review process at each development cycle:</w:t>
      </w:r>
    </w:p>
    <w:p>
      <w:pPr>
        <w:pStyle w:val="ListParagraph"/>
        <w:numPr>
          <w:ilvl w:val="0"/>
          <w:numId w:val="2"/>
        </w:numPr>
        <w:spacing w:after="60"/>
      </w:pPr>
      <w:r>
        <w:rPr>
          <w:rFonts w:ascii="Arial" w:cs="Arial" w:eastAsia="Arial" w:hAnsi="Arial"/>
          <w:b/>
          <w:bCs/>
          <w:color w:val="2D3748"/>
          <w:sz w:val="20"/>
          <w:szCs w:val="20"/>
        </w:rPr>
        <w:t xml:space="preserve">SME Review: </w:t>
      </w:r>
      <w:r>
        <w:rPr>
          <w:rFonts w:ascii="Arial" w:cs="Arial" w:eastAsia="Arial" w:hAnsi="Arial"/>
          <w:color w:val="2D3748"/>
          <w:sz w:val="20"/>
          <w:szCs w:val="20"/>
        </w:rPr>
        <w:t xml:space="preserve">Subject matter experts (clinical and IT) validate accuracy of workflows, procedures, and terminology. Feedback integrated within 3 business days.</w:t>
      </w:r>
    </w:p>
    <w:p>
      <w:pPr>
        <w:pStyle w:val="ListParagraph"/>
        <w:numPr>
          <w:ilvl w:val="0"/>
          <w:numId w:val="2"/>
        </w:numPr>
        <w:spacing w:after="60"/>
      </w:pPr>
      <w:r>
        <w:rPr>
          <w:rFonts w:ascii="Arial" w:cs="Arial" w:eastAsia="Arial" w:hAnsi="Arial"/>
          <w:b/>
          <w:bCs/>
          <w:color w:val="2D3748"/>
          <w:sz w:val="20"/>
          <w:szCs w:val="20"/>
        </w:rPr>
        <w:t xml:space="preserve">Stakeholder Review: </w:t>
      </w:r>
      <w:r>
        <w:rPr>
          <w:rFonts w:ascii="Arial" w:cs="Arial" w:eastAsia="Arial" w:hAnsi="Arial"/>
          <w:color w:val="2D3748"/>
          <w:sz w:val="20"/>
          <w:szCs w:val="20"/>
        </w:rPr>
        <w:t xml:space="preserve">Project sponsors and department leads review for alignment with business goals, organizational culture, and compliance standards. Sign-off required.</w:t>
      </w:r>
    </w:p>
    <w:p>
      <w:pPr>
        <w:pStyle w:val="ListParagraph"/>
        <w:numPr>
          <w:ilvl w:val="0"/>
          <w:numId w:val="2"/>
        </w:numPr>
        <w:spacing w:after="60"/>
      </w:pPr>
      <w:r>
        <w:rPr>
          <w:rFonts w:ascii="Arial" w:cs="Arial" w:eastAsia="Arial" w:hAnsi="Arial"/>
          <w:b/>
          <w:bCs/>
          <w:color w:val="2D3748"/>
          <w:sz w:val="20"/>
          <w:szCs w:val="20"/>
        </w:rPr>
        <w:t xml:space="preserve">QA Review: </w:t>
      </w:r>
      <w:r>
        <w:rPr>
          <w:rFonts w:ascii="Arial" w:cs="Arial" w:eastAsia="Arial" w:hAnsi="Arial"/>
          <w:color w:val="2D3748"/>
          <w:sz w:val="20"/>
          <w:szCs w:val="20"/>
        </w:rPr>
        <w:t xml:space="preserve">Instructional designer and QA team test functionality, accessibility compliance (WCAG 2.1 AA), SCORM tracking, browser compatibility, and sandbox accuracy.</w:t>
      </w:r>
    </w:p>
    <w:p>
      <w:r>
        <w:br w:type="page"/>
      </w:r>
    </w:p>
    <w:p>
      <w:pPr>
        <w:pStyle w:val="Heading1"/>
        <w:spacing w:after="120" w:before="360"/>
      </w:pPr>
      <w:r>
        <w:rPr>
          <w:rFonts w:ascii="Arial" w:cs="Arial" w:eastAsia="Arial" w:hAnsi="Arial"/>
          <w:b/>
          <w:bCs/>
          <w:color w:val="1A1A2E"/>
          <w:sz w:val="32"/>
          <w:szCs w:val="32"/>
        </w:rPr>
        <w:t xml:space="preserve">Stakeholder Sign-Off</w:t>
      </w:r>
    </w:p>
    <w:p>
      <w:pPr>
        <w:spacing w:after="120"/>
      </w:pPr>
      <w:r>
        <w:rPr>
          <w:rFonts w:ascii="Arial" w:cs="Arial" w:eastAsia="Arial" w:hAnsi="Arial"/>
          <w:color w:val="2D3748"/>
          <w:sz w:val="20"/>
          <w:szCs w:val="20"/>
        </w:rPr>
        <w:t xml:space="preserve">By signing below, stakeholders confirm they have reviewed this Design Document and approve the instructional strategy for the MeridianChart EHR training program.</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Name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Title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Signature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Date</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Dr. Sarah Chen</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Chief Medical Officer</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James Whitfield</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IT Director</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Lisa Park</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Operations Manager</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718096"/>
        <w:sz w:val="16"/>
        <w:szCs w:val="16"/>
      </w:rPr>
      <w:t xml:space="preserve">Page </w:t>
    </w:r>
    <w:r>
      <w:rPr>
        <w:rFonts w:ascii="Arial" w:cs="Arial" w:eastAsia="Arial" w:hAnsi="Arial"/>
        <w:color w:val="71809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rFonts w:ascii="Arial" w:cs="Arial" w:eastAsia="Arial" w:hAnsi="Arial"/>
        <w:color w:val="718096"/>
        <w:sz w:val="16"/>
        <w:szCs w:val="16"/>
      </w:rPr>
      <w:t xml:space="preserve">Meridian Health Partners</w:t>
    </w:r>
    <w:r>
      <w:rPr>
        <w:rFonts w:ascii="Arial" w:cs="Arial" w:eastAsia="Arial" w:hAnsi="Arial"/>
        <w:sz w:val="16"/>
        <w:szCs w:val="16"/>
      </w:rPr>
      <w:t xml:space="preserve">	</w:t>
    </w:r>
    <w:r>
      <w:rPr>
        <w:rFonts w:ascii="Arial" w:cs="Arial" w:eastAsia="Arial" w:hAnsi="Arial"/>
        <w:color w:val="718096"/>
        <w:sz w:val="16"/>
        <w:szCs w:val="16"/>
      </w:rPr>
      <w:t xml:space="preserve">Design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D3748"/>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A1A2E"/>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1A1A2E"/>
      <w:sz w:val="26"/>
      <w:szCs w:val="26"/>
    </w:rPr>
  </w:style>
  <w:style w:type="paragraph" w:styleId="Heading3">
    <w:name w:val="Heading 3"/>
    <w:basedOn w:val="Normal"/>
    <w:next w:val="Normal"/>
    <w:qFormat/>
    <w:pPr>
      <w:spacing w:after="100" w:before="200"/>
      <w:outlineLvl w:val="2"/>
    </w:pPr>
    <w:rPr>
      <w:rFonts w:ascii="Arial" w:cs="Arial" w:eastAsia="Arial" w:hAnsi="Arial"/>
      <w:b/>
      <w:bCs/>
      <w:color w:val="1A1A2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2026-03-22T20:44:03.781Z</dcterms:created>
  <dcterms:modified xsi:type="dcterms:W3CDTF">2026-03-22T20:44:03.781Z</dcterms:modified>
</cp:coreProperties>
</file>

<file path=docProps/custom.xml><?xml version="1.0" encoding="utf-8"?>
<Properties xmlns="http://schemas.openxmlformats.org/officeDocument/2006/custom-properties" xmlns:vt="http://schemas.openxmlformats.org/officeDocument/2006/docPropsVTypes"/>
</file>