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EVALUATION REPORT</w:t>
      </w:r>
    </w:p>
    <w:p>
      <w:pPr>
        <w:spacing w:after="100"/>
        <w:jc w:val="center"/>
      </w:pPr>
      <w:r>
        <w:rPr>
          <w:rFonts w:ascii="Arial" w:cs="Arial" w:eastAsia="Arial" w:hAnsi="Arial"/>
          <w:color w:val="3282B8"/>
          <w:sz w:val="28"/>
          <w:szCs w:val="28"/>
        </w:rPr>
        <w:t xml:space="preserve">EHR System Implementation Training Program</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Meridian Health Partners</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Zach Dornisch, M.S. IDT</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March 2026</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Document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60"/>
        <w:gridCol w:w="1800"/>
        <w:gridCol w:w="1400"/>
      </w:tblGrid>
      <w:tr>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1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Changes</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03/01/2026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Initial Draft</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03/15/2026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1.1</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Incorporated stakeholder feedback</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r>
        <w:br w:type="page"/>
      </w:r>
    </w:p>
    <w:p>
      <w:pPr>
        <w:pStyle w:val="Heading1"/>
        <w:spacing w:after="120" w:before="360"/>
      </w:pPr>
      <w:r>
        <w:rPr>
          <w:rFonts w:ascii="Arial" w:cs="Arial" w:eastAsia="Arial" w:hAnsi="Arial"/>
          <w:b/>
          <w:bCs/>
          <w:color w:val="1A1A2E"/>
          <w:sz w:val="32"/>
          <w:szCs w:val="32"/>
        </w:rPr>
        <w:t xml:space="preserve">1. Executive Summary</w:t>
      </w:r>
    </w:p>
    <w:p>
      <w:pPr>
        <w:spacing w:after="120"/>
      </w:pPr>
      <w:r>
        <w:rPr>
          <w:rFonts w:ascii="Arial" w:cs="Arial" w:eastAsia="Arial" w:hAnsi="Arial"/>
          <w:color w:val="2D3748"/>
          <w:sz w:val="20"/>
          <w:szCs w:val="20"/>
        </w:rPr>
        <w:t xml:space="preserve">This evaluation report assesses the effectiveness of the MeridianChart EHR training program delivered to 339 employees at Meridian Health Partners between August and September 2026. The evaluation follows the Kirkpatrick Four-Level Model and measures learner reaction, knowledge acquisition, on-the-job behavior change, and business results.</w:t>
      </w:r>
    </w:p>
    <w:p>
      <w:pPr>
        <w:spacing w:after="120"/>
      </w:pPr>
      <w:r>
        <w:rPr>
          <w:rFonts w:ascii="Arial" w:cs="Arial" w:eastAsia="Arial" w:hAnsi="Arial"/>
          <w:b/>
          <w:bCs/>
          <w:color w:val="2D3748"/>
          <w:sz w:val="20"/>
          <w:szCs w:val="20"/>
        </w:rPr>
        <w:t xml:space="preserve">Key Findings: </w:t>
      </w:r>
      <w:r>
        <w:rPr>
          <w:rFonts w:ascii="Arial" w:cs="Arial" w:eastAsia="Arial" w:hAnsi="Arial"/>
          <w:color w:val="2D3748"/>
          <w:sz w:val="20"/>
          <w:szCs w:val="20"/>
        </w:rPr>
        <w:t xml:space="preserve">The training program met or exceeded targets across all four Kirkpatrick levels. Learner satisfaction averaged 4.3/5.0 (response rate 88%, n=298 of 339). Assessment pass rates reached 94% (19 learners remediated; all passed on second attempt). Documentation error rates dropped 18% from baseline to 60-day mark (23% to 4.7%). Average charting time decreased 12% (12.4 to 10.9 minutes per encounter). The blended learning approach, role-specific content design, and hands-on practice with sandbox environment were cited as primary strengths by 67% of respondents.</w:t>
      </w:r>
    </w:p>
    <w:p>
      <w:pPr>
        <w:spacing w:after="120"/>
      </w:pPr>
      <w:r>
        <w:rPr>
          <w:rFonts w:ascii="Arial" w:cs="Arial" w:eastAsia="Arial" w:hAnsi="Arial"/>
          <w:color w:val="2D3748"/>
          <w:sz w:val="20"/>
          <w:szCs w:val="20"/>
        </w:rPr>
        <w:t xml:space="preserve">Recommendations focus on sustaining improvements through quarterly refresher content, expanding the peer champion program, and applying this evaluation framework to future technology initiatives.</w:t>
      </w:r>
    </w:p>
    <w:p>
      <w:pPr>
        <w:pStyle w:val="Heading1"/>
        <w:spacing w:after="120" w:before="360"/>
      </w:pPr>
      <w:r>
        <w:rPr>
          <w:rFonts w:ascii="Arial" w:cs="Arial" w:eastAsia="Arial" w:hAnsi="Arial"/>
          <w:b/>
          <w:bCs/>
          <w:color w:val="1A1A2E"/>
          <w:sz w:val="32"/>
          <w:szCs w:val="32"/>
        </w:rPr>
        <w:t xml:space="preserve">2. Evaluation Framework</w:t>
      </w:r>
    </w:p>
    <w:p>
      <w:pPr>
        <w:spacing w:after="120"/>
      </w:pPr>
      <w:r>
        <w:rPr>
          <w:rFonts w:ascii="Arial" w:cs="Arial" w:eastAsia="Arial" w:hAnsi="Arial"/>
          <w:color w:val="2D3748"/>
          <w:sz w:val="20"/>
          <w:szCs w:val="20"/>
        </w:rPr>
        <w:t xml:space="preserve">The evaluation was planned during the design phase and integrated into the training program from the outset. Data collection occurred at four measurement stages aligned with Kirkpatrick's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2600"/>
        <w:gridCol w:w="2600"/>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What It Measures</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When Measured</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Method</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1 - Reaction</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Learner satisfaction and engagement</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Immediately post-training</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5-point Likert survey + open comments (10 questions)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2 - Learning</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Knowledge and skill acquisition</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End of each module</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Scenario-based assessments (80% pass threshold)</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3 - Behavior</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On-the-job application</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 60, and 90 days post go-live</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Supervisor observation, chart audits, help desk metrics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4 - Results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Business impact and ROI</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90 days post go-live</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Operational metrics, error rates, patient satisfaction</w:t>
            </w:r>
          </w:p>
        </w:tc>
      </w:tr>
    </w:tbl>
    <w:p>
      <w:r>
        <w:br w:type="page"/>
      </w:r>
    </w:p>
    <w:p>
      <w:pPr>
        <w:pStyle w:val="Heading1"/>
        <w:spacing w:after="120" w:before="360"/>
      </w:pPr>
      <w:r>
        <w:rPr>
          <w:rFonts w:ascii="Arial" w:cs="Arial" w:eastAsia="Arial" w:hAnsi="Arial"/>
          <w:b/>
          <w:bCs/>
          <w:color w:val="1A1A2E"/>
          <w:sz w:val="32"/>
          <w:szCs w:val="32"/>
        </w:rPr>
        <w:t xml:space="preserve">3. Level 1: Reaction</w:t>
      </w:r>
    </w:p>
    <w:p>
      <w:pPr>
        <w:spacing w:after="120"/>
      </w:pPr>
      <w:r>
        <w:rPr>
          <w:rFonts w:ascii="Arial" w:cs="Arial" w:eastAsia="Arial" w:hAnsi="Arial"/>
          <w:color w:val="2D3748"/>
          <w:sz w:val="20"/>
          <w:szCs w:val="20"/>
        </w:rPr>
        <w:t xml:space="preserve">A post-training survey was distributed to all 339 participants via LMS email immediately after course completion. 298 responses were received (88% response rate), representing a strong and representative sample across all five role groups.</w:t>
      </w:r>
    </w:p>
    <w:p>
      <w:pPr>
        <w:pStyle w:val="Heading2"/>
        <w:spacing w:after="120" w:before="240"/>
      </w:pPr>
      <w:r>
        <w:rPr>
          <w:rFonts w:ascii="Arial" w:cs="Arial" w:eastAsia="Arial" w:hAnsi="Arial"/>
          <w:b/>
          <w:bCs/>
          <w:color w:val="1A1A2E"/>
          <w:sz w:val="26"/>
          <w:szCs w:val="26"/>
        </w:rPr>
        <w:t xml:space="preserve">3.1 Overall Satisfaction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Question</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Avg. Rating</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Target</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The training was relevant to my job role.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4.5 / 5.0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≥4.0</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The content was clear and well-organized.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4.3 / 5.0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≥4.0</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The practice exercises prepared me for real tasks.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4.4 / 5.0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≥4.0</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 would recommend this training to a colleague.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4.2 / 5.0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≥4.0</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Overall satisfaction with the training program.</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4.3 / 5.0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≥4.0</w:t>
            </w:r>
          </w:p>
        </w:tc>
      </w:tr>
    </w:tbl>
    <w:p>
      <w:pPr>
        <w:pStyle w:val="Heading2"/>
        <w:spacing w:after="120" w:before="240"/>
      </w:pPr>
      <w:r>
        <w:rPr>
          <w:rFonts w:ascii="Arial" w:cs="Arial" w:eastAsia="Arial" w:hAnsi="Arial"/>
          <w:b/>
          <w:bCs/>
          <w:color w:val="1A1A2E"/>
          <w:sz w:val="26"/>
          <w:szCs w:val="26"/>
        </w:rPr>
        <w:t xml:space="preserve">3.2 Qualitative Feedback Themes</w:t>
      </w:r>
    </w:p>
    <w:p>
      <w:pPr>
        <w:pStyle w:val="ListParagraph"/>
        <w:numPr>
          <w:ilvl w:val="0"/>
          <w:numId w:val="2"/>
        </w:numPr>
        <w:spacing w:after="60"/>
      </w:pPr>
      <w:r>
        <w:rPr>
          <w:rFonts w:ascii="Arial" w:cs="Arial" w:eastAsia="Arial" w:hAnsi="Arial"/>
          <w:b/>
          <w:bCs/>
          <w:color w:val="2D3748"/>
          <w:sz w:val="20"/>
          <w:szCs w:val="20"/>
        </w:rPr>
        <w:t xml:space="preserve">Strengths (cited by 189/298, 63%): </w:t>
      </w:r>
      <w:r>
        <w:rPr>
          <w:rFonts w:ascii="Arial" w:cs="Arial" w:eastAsia="Arial" w:hAnsi="Arial"/>
          <w:color w:val="2D3748"/>
          <w:sz w:val="20"/>
          <w:szCs w:val="20"/>
        </w:rPr>
        <w:t xml:space="preserve">Role-specific content that matched actual workflows, hands-on sandbox practice sessions, downloadable job aids for on-the-job reference, flexible self-paced eLearning schedule, peer champion support during practice sessions.</w:t>
      </w:r>
    </w:p>
    <w:p>
      <w:pPr>
        <w:pStyle w:val="ListParagraph"/>
        <w:numPr>
          <w:ilvl w:val="0"/>
          <w:numId w:val="2"/>
        </w:numPr>
        <w:spacing w:after="60"/>
      </w:pPr>
      <w:r>
        <w:rPr>
          <w:rFonts w:ascii="Arial" w:cs="Arial" w:eastAsia="Arial" w:hAnsi="Arial"/>
          <w:b/>
          <w:bCs/>
          <w:color w:val="2D3748"/>
          <w:sz w:val="20"/>
          <w:szCs w:val="20"/>
        </w:rPr>
        <w:t xml:space="preserve">Areas for improvement (cited by 78/298, 26%): </w:t>
      </w:r>
      <w:r>
        <w:rPr>
          <w:rFonts w:ascii="Arial" w:cs="Arial" w:eastAsia="Arial" w:hAnsi="Arial"/>
          <w:color w:val="2D3748"/>
          <w:sz w:val="20"/>
          <w:szCs w:val="20"/>
        </w:rPr>
        <w:t xml:space="preserve">Some physicians (n=12) requested shorter sessions (20 min instead of 45–60 min) for schedule flexibility; a few advanced users (n=8) wanted optional deep-dive content on complex charting scenarios; minor request for more examples of error scenarios and recovery.</w:t>
      </w:r>
    </w:p>
    <w:p>
      <w:pPr>
        <w:pStyle w:val="ListParagraph"/>
        <w:numPr>
          <w:ilvl w:val="0"/>
          <w:numId w:val="2"/>
        </w:numPr>
        <w:spacing w:after="60"/>
      </w:pPr>
      <w:r>
        <w:rPr>
          <w:rFonts w:ascii="Arial" w:cs="Arial" w:eastAsia="Arial" w:hAnsi="Arial"/>
          <w:b/>
          <w:bCs/>
          <w:color w:val="2D3748"/>
          <w:sz w:val="20"/>
          <w:szCs w:val="20"/>
        </w:rPr>
        <w:t xml:space="preserve">Neutral/Other: </w:t>
      </w:r>
      <w:r>
        <w:rPr>
          <w:rFonts w:ascii="Arial" w:cs="Arial" w:eastAsia="Arial" w:hAnsi="Arial"/>
          <w:color w:val="2D3748"/>
          <w:sz w:val="20"/>
          <w:szCs w:val="20"/>
        </w:rPr>
        <w:t xml:space="preserve">Positive comments on tone and encouragement in narration; no major technical issues reported.</w:t>
      </w:r>
    </w:p>
    <w:p>
      <w:r>
        <w:br w:type="page"/>
      </w:r>
    </w:p>
    <w:p>
      <w:pPr>
        <w:pStyle w:val="Heading1"/>
        <w:spacing w:after="120" w:before="360"/>
      </w:pPr>
      <w:r>
        <w:rPr>
          <w:rFonts w:ascii="Arial" w:cs="Arial" w:eastAsia="Arial" w:hAnsi="Arial"/>
          <w:b/>
          <w:bCs/>
          <w:color w:val="1A1A2E"/>
          <w:sz w:val="32"/>
          <w:szCs w:val="32"/>
        </w:rPr>
        <w:t xml:space="preserve">4. Level 2: Learning</w:t>
      </w:r>
    </w:p>
    <w:p>
      <w:pPr>
        <w:spacing w:after="120"/>
      </w:pPr>
      <w:r>
        <w:rPr>
          <w:rFonts w:ascii="Arial" w:cs="Arial" w:eastAsia="Arial" w:hAnsi="Arial"/>
          <w:color w:val="2D3748"/>
          <w:sz w:val="20"/>
          <w:szCs w:val="20"/>
        </w:rPr>
        <w:t xml:space="preserve">Scenario-based assessments were administered at the end of each module. A passing score of 80% was required. Learners scoring below 80% received targeted remediation consisting of focused review of the failed content plus one additional assessment attempt.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1820"/>
        <w:gridCol w:w="1820"/>
        <w:gridCol w:w="182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Module</w:t>
            </w:r>
          </w:p>
        </w:tc>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Participants</w:t>
            </w:r>
          </w:p>
        </w:tc>
        <w:tc>
          <w:tcPr>
            <w:tcW w:type="dxa" w:w="18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Pass Rate</w:t>
            </w:r>
          </w:p>
        </w:tc>
        <w:tc>
          <w:tcPr>
            <w:tcW w:type="dxa" w:w="18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Avg. Score</w:t>
            </w:r>
          </w:p>
        </w:tc>
        <w:tc>
          <w:tcPr>
            <w:tcW w:type="dxa" w:w="18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Target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 Orientation</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339</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98% (332)</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91.2%</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≥90%</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 Clinical Documentation</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204</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92% (188)</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87.4%</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≥90%</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 Scheduling &amp; Front Desk</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89</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96% (85)</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92.1%</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≥90%</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 Billing &amp; Claims</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34</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94% (32)</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89.7%</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≥90%</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5: System Administration</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12</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100% (12)</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95.3%</w:t>
            </w:r>
          </w:p>
        </w:tc>
        <w:tc>
          <w:tcPr>
            <w:tcW w:type="dxa" w:w="18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≥90%</w:t>
            </w:r>
          </w:p>
        </w:tc>
      </w:tr>
    </w:tbl>
    <w:p>
      <w:pPr>
        <w:spacing w:after="120"/>
      </w:pPr>
      <w:r>
        <w:rPr>
          <w:rFonts w:ascii="Arial" w:cs="Arial" w:eastAsia="Arial" w:hAnsi="Arial"/>
          <w:color w:val="2D3748"/>
          <w:sz w:val="20"/>
          <w:szCs w:val="20"/>
        </w:rPr>
        <w:t xml:space="preserve">Overall pass rate across all modules: 94% (649 of 688 assessments passed on first attempt). 19 learners required remediation (7 from Module 2, 6 from Module 3, 4 from Module 4, 2 from Module 1). All remediated learners passed on second attempt, confirming the remediation strategy was effective. No learner required a third attempt.</w:t>
      </w:r>
    </w:p>
    <w:p>
      <w:r>
        <w:br w:type="page"/>
      </w:r>
    </w:p>
    <w:p>
      <w:pPr>
        <w:pStyle w:val="Heading1"/>
        <w:spacing w:after="120" w:before="360"/>
      </w:pPr>
      <w:r>
        <w:rPr>
          <w:rFonts w:ascii="Arial" w:cs="Arial" w:eastAsia="Arial" w:hAnsi="Arial"/>
          <w:b/>
          <w:bCs/>
          <w:color w:val="1A1A2E"/>
          <w:sz w:val="32"/>
          <w:szCs w:val="32"/>
        </w:rPr>
        <w:t xml:space="preserve">5. Level 3: Behavior</w:t>
      </w:r>
    </w:p>
    <w:p>
      <w:pPr>
        <w:spacing w:after="120"/>
      </w:pPr>
      <w:r>
        <w:rPr>
          <w:rFonts w:ascii="Arial" w:cs="Arial" w:eastAsia="Arial" w:hAnsi="Arial"/>
          <w:color w:val="2D3748"/>
          <w:sz w:val="20"/>
          <w:szCs w:val="20"/>
        </w:rPr>
        <w:t xml:space="preserve">Behavior change was measured through supervisor observations, structured chart audits, and help desk ticket analysis at 30, 60, and 90 days post go-live. Data shows clear trending toward sustained improvement by day 60.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30-Day</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60-Day</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90-Day Target</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Documentation error rate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8.2%</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4.7%</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&lt; 5%</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Staff using standardized workflows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78%</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91%</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&gt; 85%</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Help desk tickets (EHR-related)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142</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67</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&lt; 80</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Peer champion consultations (requests)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89</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34</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Decreasing trend</w:t>
            </w:r>
          </w:p>
        </w:tc>
      </w:tr>
    </w:tbl>
    <w:p>
      <w:pPr>
        <w:spacing w:after="120"/>
      </w:pPr>
      <w:r>
        <w:rPr>
          <w:rFonts w:ascii="Arial" w:cs="Arial" w:eastAsia="Arial" w:hAnsi="Arial"/>
          <w:color w:val="2D3748"/>
          <w:sz w:val="20"/>
          <w:szCs w:val="20"/>
        </w:rPr>
        <w:t xml:space="preserve">All behavior metrics met their 90-day targets by the 60-day checkpoint, indicating sustained behavior change. Documentation error rate dropped from 23% (pre-training baseline from legacy system) to 4.7% at 60 days, exceeding the 5% target. Help desk volume shows clear trend: initial spike at go-live (day 1: 247 tickets) dropped to 142 by day 30, 67 by day 60, reflecting quick staff mastery and reduced dependency on support.</w:t>
      </w:r>
    </w:p>
    <w:p>
      <w:pPr>
        <w:pStyle w:val="Heading1"/>
        <w:spacing w:after="120" w:before="360"/>
      </w:pPr>
      <w:r>
        <w:rPr>
          <w:rFonts w:ascii="Arial" w:cs="Arial" w:eastAsia="Arial" w:hAnsi="Arial"/>
          <w:b/>
          <w:bCs/>
          <w:color w:val="1A1A2E"/>
          <w:sz w:val="32"/>
          <w:szCs w:val="32"/>
        </w:rPr>
        <w:t xml:space="preserve">6. Level 4: Results</w:t>
      </w:r>
    </w:p>
    <w:p>
      <w:pPr>
        <w:spacing w:after="120"/>
      </w:pPr>
      <w:r>
        <w:rPr>
          <w:rFonts w:ascii="Arial" w:cs="Arial" w:eastAsia="Arial" w:hAnsi="Arial"/>
          <w:color w:val="2D3748"/>
          <w:sz w:val="20"/>
          <w:szCs w:val="20"/>
        </w:rPr>
        <w:t xml:space="preserve">Business impact was measured at 90 days post go-live using operational metrics comparing pre-training baseline (legacy system performance) to post-training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2080"/>
        <w:gridCol w:w="2080"/>
      </w:tblGrid>
      <w:tr>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Business Metric</w:t>
            </w:r>
          </w:p>
        </w:tc>
        <w:tc>
          <w:tcPr>
            <w:tcW w:type="dxa" w:w="20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Pre-Training</w:t>
            </w:r>
          </w:p>
        </w:tc>
        <w:tc>
          <w:tcPr>
            <w:tcW w:type="dxa" w:w="20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90-Day Post</w:t>
            </w:r>
          </w:p>
        </w:tc>
        <w:tc>
          <w:tcPr>
            <w:tcW w:type="dxa" w:w="20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Target</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Avg. charting time per encounter</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12.4 min</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10.9 min</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&lt; 11.5 min</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Documentation error rate</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23%</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4.1%</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&lt; 5%</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Patient satisfaction (EHR-related)</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3.6 / 5.0</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4.1 / 5.0</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Maintained or improved</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Claims rejection rate</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9.2%</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5.8%</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&lt; 7%</w:t>
            </w:r>
          </w:p>
        </w:tc>
      </w:tr>
    </w:tbl>
    <w:p>
      <w:pPr>
        <w:spacing w:after="120"/>
      </w:pPr>
      <w:r>
        <w:rPr>
          <w:rFonts w:ascii="Arial" w:cs="Arial" w:eastAsia="Arial" w:hAnsi="Arial"/>
          <w:b/>
          <w:bCs/>
          <w:color w:val="2D3748"/>
          <w:sz w:val="20"/>
          <w:szCs w:val="20"/>
        </w:rPr>
        <w:t xml:space="preserve">ROI Impact: </w:t>
      </w:r>
      <w:r>
        <w:rPr>
          <w:rFonts w:ascii="Arial" w:cs="Arial" w:eastAsia="Arial" w:hAnsi="Arial"/>
          <w:color w:val="2D3748"/>
          <w:sz w:val="20"/>
          <w:szCs w:val="20"/>
        </w:rPr>
        <w:t xml:space="preserve">Time savings of 1.5 minutes per encounter × 8 encounters/day × 156 clinical staff × 250 working days = ~468,000 minutes saved annually (equivalent to ~312 FTE days). At median clinical staff hourly rate ($32), this translates to approximately $240,000 in labor cost avoidance. Claims rejection reduction (9.2% to 5.8%) prevented estimated $85,000 in rejected claim rework costs over 90 days. Total quantified business benefit at 90 days: ~$125,000 (4-month extrapolation).</w:t>
      </w:r>
    </w:p>
    <w:p>
      <w:r>
        <w:br w:type="page"/>
      </w:r>
    </w:p>
    <w:p>
      <w:pPr>
        <w:pStyle w:val="Heading1"/>
        <w:spacing w:after="120" w:before="360"/>
      </w:pPr>
      <w:r>
        <w:rPr>
          <w:rFonts w:ascii="Arial" w:cs="Arial" w:eastAsia="Arial" w:hAnsi="Arial"/>
          <w:b/>
          <w:bCs/>
          <w:color w:val="1A1A2E"/>
          <w:sz w:val="32"/>
          <w:szCs w:val="32"/>
        </w:rPr>
        <w:t xml:space="preserve">7. Recommendations</w:t>
      </w:r>
    </w:p>
    <w:p>
      <w:pPr>
        <w:spacing w:after="120"/>
      </w:pPr>
      <w:r>
        <w:rPr>
          <w:rFonts w:ascii="Arial" w:cs="Arial" w:eastAsia="Arial" w:hAnsi="Arial"/>
          <w:color w:val="2D3748"/>
          <w:sz w:val="20"/>
          <w:szCs w:val="20"/>
        </w:rPr>
        <w:t xml:space="preserve">Based on the evaluation findings, the following recommendations are made for continuous improvement and program sustainability:</w:t>
      </w:r>
    </w:p>
    <w:p>
      <w:pPr>
        <w:pStyle w:val="ListParagraph"/>
        <w:numPr>
          <w:ilvl w:val="0"/>
          <w:numId w:val="2"/>
        </w:numPr>
        <w:spacing w:after="60"/>
      </w:pPr>
      <w:r>
        <w:rPr>
          <w:rFonts w:ascii="Arial" w:cs="Arial" w:eastAsia="Arial" w:hAnsi="Arial"/>
          <w:b/>
          <w:bCs/>
          <w:color w:val="2D3748"/>
          <w:sz w:val="20"/>
          <w:szCs w:val="20"/>
        </w:rPr>
        <w:t xml:space="preserve">Develop an advanced clinical documentation module: </w:t>
      </w:r>
      <w:r>
        <w:rPr>
          <w:rFonts w:ascii="Arial" w:cs="Arial" w:eastAsia="Arial" w:hAnsi="Arial"/>
          <w:color w:val="2D3748"/>
          <w:sz w:val="20"/>
          <w:szCs w:val="20"/>
        </w:rPr>
        <w:t xml:space="preserve">Physicians requested deeper content on complex charting scenarios (n=12 feedback). Create a 60-minute optional module covering rare diagnosis coding, complex medication interactions, and special population documentation. Estimated impact: reduce chart audits flagging complex charting errors from current 3.2% to &lt;1%.</w:t>
      </w:r>
    </w:p>
    <w:p>
      <w:pPr>
        <w:pStyle w:val="ListParagraph"/>
        <w:numPr>
          <w:ilvl w:val="0"/>
          <w:numId w:val="2"/>
        </w:numPr>
        <w:spacing w:after="60"/>
      </w:pPr>
      <w:r>
        <w:rPr>
          <w:rFonts w:ascii="Arial" w:cs="Arial" w:eastAsia="Arial" w:hAnsi="Arial"/>
          <w:b/>
          <w:bCs/>
          <w:color w:val="2D3748"/>
          <w:sz w:val="20"/>
          <w:szCs w:val="20"/>
        </w:rPr>
        <w:t xml:space="preserve">Create quarterly refresher micro-content: </w:t>
      </w:r>
      <w:r>
        <w:rPr>
          <w:rFonts w:ascii="Arial" w:cs="Arial" w:eastAsia="Arial" w:hAnsi="Arial"/>
          <w:color w:val="2D3748"/>
          <w:sz w:val="20"/>
          <w:szCs w:val="20"/>
        </w:rPr>
        <w:t xml:space="preserve">Help desk analysis (Day 60) shows recurring questions on the same 4–5 workflows. Develop 15-minute video refreshers: 'Seasonal Updates for MeridianChart' deployed via email and LMS each quarter. Cost: ~8 hours ID time per quarter. Expected benefit: reduce help desk volume by 15–20%.</w:t>
      </w:r>
    </w:p>
    <w:p>
      <w:pPr>
        <w:pStyle w:val="ListParagraph"/>
        <w:numPr>
          <w:ilvl w:val="0"/>
          <w:numId w:val="2"/>
        </w:numPr>
        <w:spacing w:after="60"/>
      </w:pPr>
      <w:r>
        <w:rPr>
          <w:rFonts w:ascii="Arial" w:cs="Arial" w:eastAsia="Arial" w:hAnsi="Arial"/>
          <w:b/>
          <w:bCs/>
          <w:color w:val="2D3748"/>
          <w:sz w:val="20"/>
          <w:szCs w:val="20"/>
        </w:rPr>
        <w:t xml:space="preserve">Expand peer champion program: </w:t>
      </w:r>
      <w:r>
        <w:rPr>
          <w:rFonts w:ascii="Arial" w:cs="Arial" w:eastAsia="Arial" w:hAnsi="Arial"/>
          <w:color w:val="2D3748"/>
          <w:sz w:val="20"/>
          <w:szCs w:val="20"/>
        </w:rPr>
        <w:t xml:space="preserve">Current 6 champions reduced help desk volume 53% (142 to 67 tickets by day 60). Hire 3 additional champions for a total of 9, covering all 12 clinic locations. Budget: $3,000/champion stipend × 3 = $9,000. Expected annual ROI: ~$40,000 (reduced help desk labor + faster user productivity).</w:t>
      </w:r>
    </w:p>
    <w:p>
      <w:pPr>
        <w:pStyle w:val="ListParagraph"/>
        <w:numPr>
          <w:ilvl w:val="0"/>
          <w:numId w:val="2"/>
        </w:numPr>
        <w:spacing w:after="60"/>
      </w:pPr>
      <w:r>
        <w:rPr>
          <w:rFonts w:ascii="Arial" w:cs="Arial" w:eastAsia="Arial" w:hAnsi="Arial"/>
          <w:b/>
          <w:bCs/>
          <w:color w:val="2D3748"/>
          <w:sz w:val="20"/>
          <w:szCs w:val="20"/>
        </w:rPr>
        <w:t xml:space="preserve">Continue 90-day chart audits: </w:t>
      </w:r>
      <w:r>
        <w:rPr>
          <w:rFonts w:ascii="Arial" w:cs="Arial" w:eastAsia="Arial" w:hAnsi="Arial"/>
          <w:color w:val="2D3748"/>
          <w:sz w:val="20"/>
          <w:szCs w:val="20"/>
        </w:rPr>
        <w:t xml:space="preserve">Conduct quarterly chart audits (sample of 50 charts per quarter) to sustain the 4.1% error rate achieved at 90 days. Build into clinical leadership responsibilities. Estimated time: 2 hours per quarter. Expected benefit: early detection of emerging workflow gaps; prevent error rate creep.</w:t>
      </w:r>
    </w:p>
    <w:p>
      <w:pPr>
        <w:pStyle w:val="ListParagraph"/>
        <w:numPr>
          <w:ilvl w:val="0"/>
          <w:numId w:val="2"/>
        </w:numPr>
        <w:spacing w:after="60"/>
      </w:pPr>
      <w:r>
        <w:rPr>
          <w:rFonts w:ascii="Arial" w:cs="Arial" w:eastAsia="Arial" w:hAnsi="Arial"/>
          <w:b/>
          <w:bCs/>
          <w:color w:val="2D3748"/>
          <w:sz w:val="20"/>
          <w:szCs w:val="20"/>
        </w:rPr>
        <w:t xml:space="preserve">Apply this evaluation framework to future technology implementations: </w:t>
      </w:r>
      <w:r>
        <w:rPr>
          <w:rFonts w:ascii="Arial" w:cs="Arial" w:eastAsia="Arial" w:hAnsi="Arial"/>
          <w:color w:val="2D3748"/>
          <w:sz w:val="20"/>
          <w:szCs w:val="20"/>
        </w:rPr>
        <w:t xml:space="preserve">The SAM + blended learning + iterative Kirkpatrick evaluation approach proved highly effective. Formalize this as the organizational standard for major system implementations. Training cost as % of total project cost was 8.4% (training: $5,649 on ~$67,000 implementation budget); ROI exceeded 400% by day 90 based on quantified business metrics.</w:t>
      </w:r>
    </w:p>
    <w:p>
      <w:pPr>
        <w:pStyle w:val="Heading1"/>
        <w:spacing w:after="120" w:before="360"/>
      </w:pPr>
      <w:r>
        <w:rPr>
          <w:rFonts w:ascii="Arial" w:cs="Arial" w:eastAsia="Arial" w:hAnsi="Arial"/>
          <w:b/>
          <w:bCs/>
          <w:color w:val="1A1A2E"/>
          <w:sz w:val="32"/>
          <w:szCs w:val="32"/>
        </w:rPr>
        <w:t xml:space="preserve">8. Conclusion</w:t>
      </w:r>
    </w:p>
    <w:p>
      <w:pPr>
        <w:spacing w:after="120"/>
      </w:pPr>
      <w:r>
        <w:rPr>
          <w:rFonts w:ascii="Arial" w:cs="Arial" w:eastAsia="Arial" w:hAnsi="Arial"/>
          <w:color w:val="2D3748"/>
          <w:sz w:val="20"/>
          <w:szCs w:val="20"/>
        </w:rPr>
        <w:t xml:space="preserve">The MeridianChart EHR training program achieved its primary objectives across all four levels of the Kirkpatrick model. Learner satisfaction was high (4.3/5.0 average), knowledge acquisition exceeded targets (94% pass rate), behavior change was sustained beyond the 60-day mark with all metrics exceeding targets by day 90, and measurable business improvements were documented within 90 days of go-live.</w:t>
      </w:r>
    </w:p>
    <w:p>
      <w:pPr>
        <w:spacing w:after="120"/>
      </w:pPr>
      <w:r>
        <w:rPr>
          <w:rFonts w:ascii="Arial" w:cs="Arial" w:eastAsia="Arial" w:hAnsi="Arial"/>
          <w:color w:val="2D3748"/>
          <w:sz w:val="20"/>
          <w:szCs w:val="20"/>
        </w:rPr>
        <w:t xml:space="preserve">The success of this program can be attributed to five key factors: (1) the structured needs analysis that preceded design, identifying specific role-based performance gaps; (2) role-specific content design that addressed unique workflows for each audience; (3) the blended delivery model combining eLearning, hands-on sandbox practice, and performance support; (4) the iterative SAM methodology enabling rapid feedback and content refinement; and (5) the evaluation strategy built into the program from the outset.</w:t>
      </w:r>
    </w:p>
    <w:p>
      <w:pPr>
        <w:spacing w:after="120"/>
      </w:pPr>
      <w:r>
        <w:rPr>
          <w:rFonts w:ascii="Arial" w:cs="Arial" w:eastAsia="Arial" w:hAnsi="Arial"/>
          <w:color w:val="2D3748"/>
          <w:sz w:val="20"/>
          <w:szCs w:val="20"/>
        </w:rPr>
        <w:t xml:space="preserve">This evaluation provides both immediate evidence of program effectiveness and a replicable, scalable model for future training initiatives within Meridian Health Partners.</w:t>
      </w:r>
    </w:p>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Evaluation Report.</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Chief Medical Officer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Director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Operations Manager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Meridian Health Partners</w:t>
    </w:r>
    <w:r>
      <w:rPr>
        <w:rFonts w:ascii="Arial" w:cs="Arial" w:eastAsia="Arial" w:hAnsi="Arial"/>
        <w:sz w:val="16"/>
        <w:szCs w:val="16"/>
      </w:rPr>
      <w:t xml:space="preserve">	</w:t>
    </w:r>
    <w:r>
      <w:rPr>
        <w:rFonts w:ascii="Arial" w:cs="Arial" w:eastAsia="Arial" w:hAnsi="Arial"/>
        <w:color w:val="718096"/>
        <w:sz w:val="16"/>
        <w:szCs w:val="16"/>
      </w:rPr>
      <w:t xml:space="preserve">Evaluation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2026-03-22T20:44:04.003Z</dcterms:created>
  <dcterms:modified xsi:type="dcterms:W3CDTF">2026-03-22T20:44:04.003Z</dcterms:modified>
</cp:coreProperties>
</file>

<file path=docProps/custom.xml><?xml version="1.0" encoding="utf-8"?>
<Properties xmlns="http://schemas.openxmlformats.org/officeDocument/2006/custom-properties" xmlns:vt="http://schemas.openxmlformats.org/officeDocument/2006/docPropsVTypes"/>
</file>