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/>
    <w:p/>
    <w:p/>
    <w:p/>
    <w:p/>
    <w:p/>
    <w:p>
      <w:pPr>
        <w:spacing w:after="80"/>
        <w:jc w:val="center"/>
      </w:pPr>
      <w:r>
        <w:rPr>
          <w:rFonts w:ascii="Arial" w:hAnsi="Arial"/>
          <w:b/>
          <w:i w:val="0"/>
          <w:color w:val="1A1A2E"/>
          <w:sz w:val="52"/>
        </w:rPr>
        <w:t>LEARNING NEEDS ANALYSIS</w:t>
      </w:r>
    </w:p>
    <w:p>
      <w:pPr>
        <w:spacing w:after="480"/>
        <w:jc w:val="center"/>
      </w:pPr>
      <w:r>
        <w:rPr>
          <w:rFonts w:ascii="Arial" w:hAnsi="Arial"/>
          <w:b/>
          <w:i w:val="0"/>
          <w:color w:val="3282B8"/>
          <w:sz w:val="32"/>
        </w:rPr>
        <w:t>ID Field Guide</w:t>
      </w:r>
    </w:p>
    <w:p>
      <w:pPr>
        <w:spacing w:after="800"/>
        <w:jc w:val="center"/>
      </w:pPr>
      <w:r>
        <w:rPr>
          <w:rFonts w:ascii="Arial" w:hAnsi="Arial"/>
          <w:b w:val="0"/>
          <w:i w:val="0"/>
          <w:color w:val="718096"/>
          <w:sz w:val="22"/>
        </w:rPr>
        <w:t>Companion to the Needs Analysis template</w:t>
      </w:r>
    </w:p>
    <w:p>
      <w:pPr>
        <w:spacing w:after="20"/>
        <w:jc w:val="center"/>
      </w:pPr>
      <w:r>
        <w:rPr>
          <w:rFonts w:ascii="Arial" w:hAnsi="Arial"/>
          <w:b w:val="0"/>
          <w:i w:val="0"/>
          <w:color w:val="718096"/>
          <w:sz w:val="20"/>
        </w:rPr>
        <w:t>Learning &amp; Development</w:t>
      </w:r>
    </w:p>
    <w:p>
      <w:pPr>
        <w:spacing w:after="40"/>
        <w:jc w:val="center"/>
      </w:pPr>
      <w:r>
        <w:rPr>
          <w:rFonts w:ascii="Arial" w:hAnsi="Arial"/>
          <w:b w:val="0"/>
          <w:i w:val="0"/>
          <w:color w:val="718096"/>
          <w:sz w:val="20"/>
        </w:rPr>
        <w:t>Zach Dornisch, M.S. IDT     |     Version 1.0</w:t>
      </w:r>
    </w:p>
    <w:p>
      <w:r>
        <w:br w:type="page"/>
      </w:r>
    </w:p>
    <w:p>
      <w:pPr>
        <w:pStyle w:val="Heading1"/>
        <w:spacing w:before="260" w:after="80"/>
      </w:pPr>
      <w:r>
        <w:rPr>
          <w:rFonts w:ascii="Arial" w:hAnsi="Arial"/>
          <w:b/>
          <w:color w:val="1A1A2E"/>
          <w:sz w:val="30"/>
        </w:rPr>
        <w:t>How to Use This Guide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The template tells you WHAT goes in each section of a Learning Needs Analysis. This guide tells you HOW to produce it well, and WHY each piece matters — with methods and references you can lean on at any experience level.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Section numbers below match the template. Where the template says "→ Field Guide §6.2," come here and find §6.2. This is a reference, not a cover-to-cover read. Sources are cited in APA (7th ed.) style throughout, with full references at the end.</w:t>
      </w:r>
    </w:p>
    <w:p>
      <w:pPr>
        <w:pStyle w:val="Heading1"/>
        <w:spacing w:before="260" w:after="80"/>
      </w:pPr>
      <w:r>
        <w:rPr>
          <w:rFonts w:ascii="Arial" w:hAnsi="Arial"/>
          <w:b/>
          <w:color w:val="1A1A2E"/>
          <w:sz w:val="30"/>
        </w:rPr>
        <w:t>Tailoring the Analysis to Your Project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Not every project needs every section at full depth. A two-week microlearning refresh does not warrant the same analysis as an enterprise system rollout. Scale the effort to the size, risk, and visibility of the project — and use professional judgment, because no template can make that call for you.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The rule of thumb: cut depth, not the backbone. Some pieces are load-bearing — remove them and the analysis stops being trustworthy. At a minimum, always keep: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The business goal and learning goal (§3) — without them, nothing downstream has an anchor.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A task analysis proportionate to the content (§6.2) — even a short one keeps training tied to real performance.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The root-cause check (§6.4) — even a brief pass stops you from "training" a problem that training cannot fix.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An evaluation plan tied to the goals (§8) — so you can show whether it worked.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Scale down or combine the rest when the project is small or low-risk: lighter data collection (a few interviews instead of a full survey), a brief risk and constraints note, and a high-level timeline. Scale up when the work is large, high-stakes, or regulated: deeper data collection, formal sign-off, fuller risk analysis, and explicit accessibility and compliance detail. Before cutting a section, ask: "Does losing this let me skip a question I actually need answered?" If yes, keep a short version rather than dropping it.</w:t>
      </w:r>
    </w:p>
    <w:p>
      <w:pPr>
        <w:pStyle w:val="Heading1"/>
        <w:spacing w:before="260" w:after="80"/>
      </w:pPr>
      <w:r>
        <w:rPr>
          <w:rFonts w:ascii="Arial" w:hAnsi="Arial"/>
          <w:b/>
          <w:color w:val="1A1A2E"/>
          <w:sz w:val="30"/>
        </w:rPr>
        <w:t>§2   Background and Business Case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Lead with the business problem, not the training. If you cannot name a business metric that should move, pause and question whether training is the right intervention at all. Work through: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What changed? Growth, a new system, new compliance requirements, a merger, or a visible failure.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What does doing nothing cost? Errors, wasted time, compliance risk, turnover, rework.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Who is asking for this, and what will they accept as success?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Is there a prior failed effort to acknowledge honestly? Naming it builds credibility and defuses skepticism.</w:t>
      </w:r>
    </w:p>
    <w:p>
      <w:pPr>
        <w:pStyle w:val="Heading1"/>
        <w:spacing w:before="260" w:after="80"/>
      </w:pPr>
      <w:r>
        <w:rPr>
          <w:rFonts w:ascii="Arial" w:hAnsi="Arial"/>
          <w:b/>
          <w:color w:val="1A1A2E"/>
          <w:sz w:val="30"/>
        </w:rPr>
        <w:t>§3   Goals — The Chain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Three things get conflated constantly. Keep them distinct; everything downstream depends on it.</w:t>
      </w:r>
    </w:p>
    <w:p>
      <w:pPr>
        <w:spacing w:after="80"/>
      </w:pPr>
      <w:r>
        <w:rPr>
          <w:rFonts w:ascii="Arial" w:hAnsi="Arial"/>
          <w:b/>
          <w:i w:val="0"/>
          <w:color w:val="1A1A2E"/>
          <w:sz w:val="21"/>
        </w:rPr>
        <w:t xml:space="preserve">Business goal:  </w:t>
      </w:r>
      <w:r>
        <w:rPr>
          <w:rFonts w:ascii="Arial" w:hAnsi="Arial"/>
          <w:b w:val="0"/>
          <w:i w:val="0"/>
          <w:color w:val="2D3748"/>
          <w:sz w:val="21"/>
        </w:rPr>
        <w:t>the organizational result, tied to a metric. "Reduce documentation errors from 23% to under 5%."</w:t>
      </w:r>
    </w:p>
    <w:p>
      <w:pPr>
        <w:spacing w:after="80"/>
      </w:pPr>
      <w:r>
        <w:rPr>
          <w:rFonts w:ascii="Arial" w:hAnsi="Arial"/>
          <w:b/>
          <w:i w:val="0"/>
          <w:color w:val="1A1A2E"/>
          <w:sz w:val="21"/>
        </w:rPr>
        <w:t xml:space="preserve">Learning goal:  </w:t>
      </w:r>
      <w:r>
        <w:rPr>
          <w:rFonts w:ascii="Arial" w:hAnsi="Arial"/>
          <w:b w:val="0"/>
          <w:i w:val="0"/>
          <w:color w:val="2D3748"/>
          <w:sz w:val="21"/>
        </w:rPr>
        <w:t>the single on-the-job outcome the training must produce. One sentence. "Staff independently complete role-specific workflows to standard."</w:t>
      </w:r>
    </w:p>
    <w:p>
      <w:pPr>
        <w:spacing w:after="80"/>
      </w:pPr>
      <w:r>
        <w:rPr>
          <w:rFonts w:ascii="Arial" w:hAnsi="Arial"/>
          <w:b/>
          <w:i w:val="0"/>
          <w:color w:val="1A1A2E"/>
          <w:sz w:val="21"/>
        </w:rPr>
        <w:t xml:space="preserve">Learning objectives (§7.3):  </w:t>
      </w:r>
      <w:r>
        <w:rPr>
          <w:rFonts w:ascii="Arial" w:hAnsi="Arial"/>
          <w:b w:val="0"/>
          <w:i w:val="0"/>
          <w:color w:val="2D3748"/>
          <w:sz w:val="21"/>
        </w:rPr>
        <w:t>the granular, measurable steps that ladder up to the learning goal. These come later and feed assessment.</w:t>
      </w:r>
    </w:p>
    <w:p>
      <w:pPr>
        <w:spacing w:after="120"/>
      </w:pPr>
      <w:r>
        <w:rPr>
          <w:rFonts w:ascii="Arial" w:hAnsi="Arial"/>
          <w:b w:val="0"/>
          <w:i/>
          <w:color w:val="718096"/>
          <w:sz w:val="20"/>
        </w:rPr>
        <w:t>The most common failure is jumping straight to objectives with no goal — training then has no business anchor and no way to prove it worked.</w:t>
      </w:r>
    </w:p>
    <w:p>
      <w:pPr>
        <w:pStyle w:val="Heading1"/>
        <w:spacing w:before="260" w:after="80"/>
      </w:pPr>
      <w:r>
        <w:rPr>
          <w:rFonts w:ascii="Arial" w:hAnsi="Arial"/>
          <w:b/>
          <w:color w:val="1A1A2E"/>
          <w:sz w:val="30"/>
        </w:rPr>
        <w:t>§5   Data Collection — Choosing Methods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Rossett (2009) frames needs assessment around four kinds of information to seek: optimal performance (what good looks like), actual performance (what happens now), feelings (confidence, attitudes), and causes. Choose methods that surface each, and triangulate across four sources: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Leadership / sponsors — strategy, priorities, and success criteria (interviews).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Staff / performers — self-reported readiness, preferences, constraints (survey).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Direct observation — what people actually do, including workarounds (shadowing).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Documents / extant data — current standards, SOPs, audit and error data (review).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Match the method to the question, and always report sample size and response rate (Rossett, 1987, 2009).</w:t>
      </w:r>
    </w:p>
    <w:p>
      <w:pPr>
        <w:pStyle w:val="Heading1"/>
        <w:spacing w:before="260" w:after="80"/>
      </w:pPr>
      <w:r>
        <w:rPr>
          <w:rFonts w:ascii="Arial" w:hAnsi="Arial"/>
          <w:b/>
          <w:color w:val="1A1A2E"/>
          <w:sz w:val="30"/>
        </w:rPr>
        <w:t>§6.1   Audience and Entry Characteristics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Entry characteristics are what you can assume about learners before training begins. Capture: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Prior knowledge and baseline skills you can build on.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Technical comfort by role — and where it is lowest.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Devices and environment: shared workstations, mobile, bandwidth, time available between tasks.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Constraints: shift patterns, downtime, language, and accessibility needs.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Attitudes: confidence, and any skepticism from past rollouts.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Motivation is itself an entry characteristic — assess it directly, do not assume it. Keller’s ARCS model gives you four dimensions to analyze during the needs analysis, and to design for once training begins (Keller, 1987, 2010):</w:t>
      </w:r>
    </w:p>
    <w:p>
      <w:pPr>
        <w:spacing w:after="80"/>
      </w:pPr>
      <w:r>
        <w:rPr>
          <w:rFonts w:ascii="Arial" w:hAnsi="Arial"/>
          <w:b/>
          <w:i w:val="0"/>
          <w:color w:val="1A1A2E"/>
          <w:sz w:val="21"/>
        </w:rPr>
        <w:t xml:space="preserve">Attention:  </w:t>
      </w:r>
      <w:r>
        <w:rPr>
          <w:rFonts w:ascii="Arial" w:hAnsi="Arial"/>
          <w:b w:val="0"/>
          <w:i w:val="0"/>
          <w:color w:val="2D3748"/>
          <w:sz w:val="21"/>
        </w:rPr>
        <w:t>will the training catch and hold interest, or do the topic and format risk losing it?</w:t>
      </w:r>
    </w:p>
    <w:p>
      <w:pPr>
        <w:spacing w:after="80"/>
      </w:pPr>
      <w:r>
        <w:rPr>
          <w:rFonts w:ascii="Arial" w:hAnsi="Arial"/>
          <w:b/>
          <w:i w:val="0"/>
          <w:color w:val="1A1A2E"/>
          <w:sz w:val="21"/>
        </w:rPr>
        <w:t xml:space="preserve">Relevance:  </w:t>
      </w:r>
      <w:r>
        <w:rPr>
          <w:rFonts w:ascii="Arial" w:hAnsi="Arial"/>
          <w:b w:val="0"/>
          <w:i w:val="0"/>
          <w:color w:val="2D3748"/>
          <w:sz w:val="21"/>
        </w:rPr>
        <w:t>do learners see how this connects to their real job and goals? This is the most common motivation gap.</w:t>
      </w:r>
    </w:p>
    <w:p>
      <w:pPr>
        <w:spacing w:after="80"/>
      </w:pPr>
      <w:r>
        <w:rPr>
          <w:rFonts w:ascii="Arial" w:hAnsi="Arial"/>
          <w:b/>
          <w:i w:val="0"/>
          <w:color w:val="1A1A2E"/>
          <w:sz w:val="21"/>
        </w:rPr>
        <w:t xml:space="preserve">Confidence:  </w:t>
      </w:r>
      <w:r>
        <w:rPr>
          <w:rFonts w:ascii="Arial" w:hAnsi="Arial"/>
          <w:b w:val="0"/>
          <w:i w:val="0"/>
          <w:color w:val="2D3748"/>
          <w:sz w:val="21"/>
        </w:rPr>
        <w:t>do learners believe they can succeed? Low confidence — like the 62% unsure about new systems in the example — calls for scaffolding and early wins.</w:t>
      </w:r>
    </w:p>
    <w:p>
      <w:pPr>
        <w:spacing w:after="80"/>
      </w:pPr>
      <w:r>
        <w:rPr>
          <w:rFonts w:ascii="Arial" w:hAnsi="Arial"/>
          <w:b/>
          <w:i w:val="0"/>
          <w:color w:val="1A1A2E"/>
          <w:sz w:val="21"/>
        </w:rPr>
        <w:t xml:space="preserve">Satisfaction:  </w:t>
      </w:r>
      <w:r>
        <w:rPr>
          <w:rFonts w:ascii="Arial" w:hAnsi="Arial"/>
          <w:b w:val="0"/>
          <w:i w:val="0"/>
          <w:color w:val="2D3748"/>
          <w:sz w:val="21"/>
        </w:rPr>
        <w:t>will the effort feel worth it, through growing competence, recognition, or genuine usefulness on the job?</w:t>
      </w:r>
    </w:p>
    <w:p>
      <w:pPr>
        <w:spacing w:after="120"/>
      </w:pPr>
      <w:r>
        <w:rPr>
          <w:rFonts w:ascii="Arial" w:hAnsi="Arial"/>
          <w:b w:val="0"/>
          <w:i/>
          <w:color w:val="718096"/>
          <w:sz w:val="20"/>
        </w:rPr>
        <w:t>Use ARCS to predict where motivation will break down, then design to shore up the weak dimensions. It also links to root cause (§6.4): when a gap is motivational, training alone rarely fixes it.</w:t>
      </w:r>
    </w:p>
    <w:p>
      <w:pPr>
        <w:pStyle w:val="Heading1"/>
        <w:spacing w:before="260" w:after="80"/>
      </w:pPr>
      <w:r>
        <w:rPr>
          <w:rFonts w:ascii="Arial" w:hAnsi="Arial"/>
          <w:b/>
          <w:color w:val="1A1A2E"/>
          <w:sz w:val="30"/>
        </w:rPr>
        <w:t>§6.2   Task Analysis — How to Write One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Task analysis is the most-skipped step in the field, and the costliest to skip. Designers leap from "what is the topic" straight to building content, and end up teaching information instead of performance. A task analysis prevents that by breaking the learning goal into the actual tasks people perform, the knowledge and skills each requires, and the standard that defines competent performance (Jonassen, Tessmer, &amp; Hannum, 1999; Dick, Carey, &amp; Carey, 2015). It is the direct source of your learning objectives.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Two flavors, depending on the work:</w:t>
      </w:r>
    </w:p>
    <w:p>
      <w:pPr>
        <w:spacing w:after="80"/>
      </w:pPr>
      <w:r>
        <w:rPr>
          <w:rFonts w:ascii="Arial" w:hAnsi="Arial"/>
          <w:b/>
          <w:i w:val="0"/>
          <w:color w:val="1A1A2E"/>
          <w:sz w:val="21"/>
        </w:rPr>
        <w:t xml:space="preserve">Procedural / behavioral:  </w:t>
      </w:r>
      <w:r>
        <w:rPr>
          <w:rFonts w:ascii="Arial" w:hAnsi="Arial"/>
          <w:b w:val="0"/>
          <w:i w:val="0"/>
          <w:color w:val="2D3748"/>
          <w:sz w:val="21"/>
        </w:rPr>
        <w:t>observable, ordered steps. Dick et al. (2015) call this hierarchical and procedural analysis. Best for clear, repeatable tasks.</w:t>
      </w:r>
    </w:p>
    <w:p>
      <w:pPr>
        <w:spacing w:after="80"/>
      </w:pPr>
      <w:r>
        <w:rPr>
          <w:rFonts w:ascii="Arial" w:hAnsi="Arial"/>
          <w:b/>
          <w:i w:val="0"/>
          <w:color w:val="1A1A2E"/>
          <w:sz w:val="21"/>
        </w:rPr>
        <w:t xml:space="preserve">Cognitive task analysis:  </w:t>
      </w:r>
      <w:r>
        <w:rPr>
          <w:rFonts w:ascii="Arial" w:hAnsi="Arial"/>
          <w:b w:val="0"/>
          <w:i w:val="0"/>
          <w:color w:val="2D3748"/>
          <w:sz w:val="21"/>
        </w:rPr>
        <w:t>the decisions, cues, and judgment behind expert performance. Use it when expertise is judgment-heavy, not just steps — triage, diagnosis, prioritization (Jonassen et al., 1999).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A reliable sequence to write one: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Start from the learning goal and list the tasks each role must perform. Tasks are things people DO (verbs): "schedule a follow-up appointment," not "the scheduling module."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Decompose each task into its observable steps, in order. Stop when breaking a step down further would not change what you teach — that is the right grain size.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For each step, identify the prerequisite knowledge and skills. For judgment-heavy work, capture the cues and decisions an expert uses, not just the clicks.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Define the performance standard: how well, how fast, and under what conditions. This becomes the objective and the assessment criterion.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Where to get the information: observe expert performers doing the real task; interview SMEs but verify against observation, because experts often cannot articulate their own expertise (the "expert blind spot"); do the task yourself when feasible; and review SOPs and error logs to see where people actually go wrong.</w:t>
      </w:r>
    </w:p>
    <w:p>
      <w:pPr>
        <w:spacing w:after="60"/>
      </w:pPr>
      <w:r>
        <w:rPr>
          <w:rFonts w:ascii="Arial" w:hAnsi="Arial"/>
          <w:b/>
          <w:i w:val="0"/>
          <w:color w:val="1A1A2E"/>
          <w:sz w:val="21"/>
        </w:rPr>
        <w:t>Worked example — a single task, fully analyzed: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shd w:val="clear" w:color="auto" w:fill="0F4C75"/>
          </w:tcPr>
          <w:p>
            <w:r>
              <w:rPr>
                <w:rFonts w:ascii="Arial" w:hAnsi="Arial"/>
                <w:b/>
                <w:color w:val="FFFFFF"/>
                <w:sz w:val="19"/>
              </w:rPr>
              <w:t>Element</w:t>
            </w:r>
          </w:p>
        </w:tc>
        <w:tc>
          <w:tcPr>
            <w:tcW w:type="dxa" w:w="4824"/>
            <w:shd w:val="clear" w:color="auto" w:fill="0F4C75"/>
          </w:tcPr>
          <w:p>
            <w:r>
              <w:rPr>
                <w:rFonts w:ascii="Arial" w:hAnsi="Arial"/>
                <w:b/>
                <w:color w:val="FFFFFF"/>
                <w:sz w:val="19"/>
              </w:rPr>
              <w:t>Detail</w:t>
            </w:r>
          </w:p>
        </w:tc>
      </w:tr>
      <w:tr>
        <w:tc>
          <w:tcPr>
            <w:tcW w:type="dxa" w:w="4824"/>
          </w:tcPr>
          <w:p>
            <w:r>
              <w:rPr>
                <w:rFonts w:ascii="Arial" w:hAnsi="Arial"/>
                <w:b/>
                <w:color w:val="1A1A2E"/>
                <w:sz w:val="18"/>
              </w:rPr>
              <w:t>Task</w:t>
            </w:r>
          </w:p>
        </w:tc>
        <w:tc>
          <w:tcPr>
            <w:tcW w:type="dxa" w:w="4824"/>
          </w:tcPr>
          <w:p>
            <w:r>
              <w:rPr>
                <w:rFonts w:ascii="Arial" w:hAnsi="Arial"/>
                <w:b w:val="0"/>
                <w:color w:val="2D3748"/>
                <w:sz w:val="18"/>
              </w:rPr>
              <w:t>Locate and open a patient record</w:t>
            </w:r>
          </w:p>
        </w:tc>
      </w:tr>
      <w:tr>
        <w:tc>
          <w:tcPr>
            <w:tcW w:type="dxa" w:w="4824"/>
          </w:tcPr>
          <w:p>
            <w:r>
              <w:rPr>
                <w:rFonts w:ascii="Arial" w:hAnsi="Arial"/>
                <w:b/>
                <w:color w:val="1A1A2E"/>
                <w:sz w:val="18"/>
              </w:rPr>
              <w:t>Steps</w:t>
            </w:r>
          </w:p>
        </w:tc>
        <w:tc>
          <w:tcPr>
            <w:tcW w:type="dxa" w:w="4824"/>
          </w:tcPr>
          <w:p>
            <w:r>
              <w:rPr>
                <w:rFonts w:ascii="Arial" w:hAnsi="Arial"/>
                <w:b w:val="0"/>
                <w:color w:val="2D3748"/>
                <w:sz w:val="18"/>
              </w:rPr>
              <w:t>(1) choose a search method; (2) enter the identifier; (3) confirm the correct patient from results; (4) open the record</w:t>
            </w:r>
          </w:p>
        </w:tc>
      </w:tr>
      <w:tr>
        <w:tc>
          <w:tcPr>
            <w:tcW w:type="dxa" w:w="4824"/>
          </w:tcPr>
          <w:p>
            <w:r>
              <w:rPr>
                <w:rFonts w:ascii="Arial" w:hAnsi="Arial"/>
                <w:b/>
                <w:color w:val="1A1A2E"/>
                <w:sz w:val="18"/>
              </w:rPr>
              <w:t>Knowledge &amp; skills</w:t>
            </w:r>
          </w:p>
        </w:tc>
        <w:tc>
          <w:tcPr>
            <w:tcW w:type="dxa" w:w="4824"/>
          </w:tcPr>
          <w:p>
            <w:r>
              <w:rPr>
                <w:rFonts w:ascii="Arial" w:hAnsi="Arial"/>
                <w:b w:val="0"/>
                <w:color w:val="2D3748"/>
                <w:sz w:val="18"/>
              </w:rPr>
              <w:t>Knows two search methods; understands the MRN format; can disambiguate similar names using date of birth</w:t>
            </w:r>
          </w:p>
        </w:tc>
      </w:tr>
      <w:tr>
        <w:tc>
          <w:tcPr>
            <w:tcW w:type="dxa" w:w="4824"/>
          </w:tcPr>
          <w:p>
            <w:r>
              <w:rPr>
                <w:rFonts w:ascii="Arial" w:hAnsi="Arial"/>
                <w:b/>
                <w:color w:val="1A1A2E"/>
                <w:sz w:val="18"/>
              </w:rPr>
              <w:t>Performance standard</w:t>
            </w:r>
          </w:p>
        </w:tc>
        <w:tc>
          <w:tcPr>
            <w:tcW w:type="dxa" w:w="4824"/>
          </w:tcPr>
          <w:p>
            <w:r>
              <w:rPr>
                <w:rFonts w:ascii="Arial" w:hAnsi="Arial"/>
                <w:b w:val="0"/>
                <w:color w:val="2D3748"/>
                <w:sz w:val="18"/>
              </w:rPr>
              <w:t>Correct record open in under 30 seconds, first attempt, with no wrong-patient selections</w:t>
            </w:r>
          </w:p>
        </w:tc>
      </w:tr>
    </w:tbl>
    <w:p>
      <w:pPr>
        <w:spacing w:after="40"/>
      </w:pP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Common pitfalls to avoid: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Listing topics or content instead of tasks — the single most common mistake.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Stopping at the steps and skipping the knowledge, skills, and the performance standard.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Relying only on SME interviews without observation (the expert blind spot).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Going too granular — analyzing to a level of detail that does not change the design.</w:t>
      </w:r>
    </w:p>
    <w:p>
      <w:pPr>
        <w:pStyle w:val="Heading1"/>
        <w:spacing w:before="260" w:after="80"/>
      </w:pPr>
      <w:r>
        <w:rPr>
          <w:rFonts w:ascii="Arial" w:hAnsi="Arial"/>
          <w:b/>
          <w:color w:val="1A1A2E"/>
          <w:sz w:val="30"/>
        </w:rPr>
        <w:t>§6.4   Root Cause — Is It Even a Training Problem?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Not every gap is a training gap, and training the wrong cause is the most expensive mistake in the field. Before recommending training, run the core questions from Mager and Pipe (1997):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Is the problem worth fixing? What does it cost?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Could they do it if their life depended on it? (A skill problem versus a will problem.)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Are expectations and performance standards clear?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Do they have the tools, time, and resources?</w:t>
      </w:r>
    </w:p>
    <w:p>
      <w:pPr>
        <w:pStyle w:val="ListBullet"/>
        <w:spacing w:after="60"/>
      </w:pPr>
      <w:r>
        <w:rPr>
          <w:rFonts w:ascii="Arial" w:hAnsi="Arial"/>
          <w:color w:val="2D3748"/>
          <w:sz w:val="21"/>
        </w:rPr>
        <w:t>Are there consequences or incentives — does good performance matter to them?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Categorize causes as Knowledge, Process, Environment, Motivation, or Resources. Training addresses Knowledge (and some skill). Process, Environment, Resources, and Motivation gaps need documentation, tooling, or change management — flag them for parallel, non-training action (Mager &amp; Pipe, 1997).</w:t>
      </w:r>
    </w:p>
    <w:p>
      <w:pPr>
        <w:pStyle w:val="Heading1"/>
        <w:spacing w:before="260" w:after="80"/>
      </w:pPr>
      <w:r>
        <w:rPr>
          <w:rFonts w:ascii="Arial" w:hAnsi="Arial"/>
          <w:b/>
          <w:color w:val="1A1A2E"/>
          <w:sz w:val="30"/>
        </w:rPr>
        <w:t>§7   Instructional Approach — A Menu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Name your approach AND justify it against timeline, team, audience, and how stable the content is. Do not default to ADDIE out of habit. Common options: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shd w:val="clear" w:color="auto" w:fill="0F4C75"/>
          </w:tcPr>
          <w:p>
            <w:r>
              <w:rPr>
                <w:rFonts w:ascii="Arial" w:hAnsi="Arial"/>
                <w:b/>
                <w:color w:val="FFFFFF"/>
                <w:sz w:val="19"/>
              </w:rPr>
              <w:t>Approach</w:t>
            </w:r>
          </w:p>
        </w:tc>
        <w:tc>
          <w:tcPr>
            <w:tcW w:type="dxa" w:w="2412"/>
            <w:shd w:val="clear" w:color="auto" w:fill="0F4C75"/>
          </w:tcPr>
          <w:p>
            <w:r>
              <w:rPr>
                <w:rFonts w:ascii="Arial" w:hAnsi="Arial"/>
                <w:b/>
                <w:color w:val="FFFFFF"/>
                <w:sz w:val="19"/>
              </w:rPr>
              <w:t>Best when</w:t>
            </w:r>
          </w:p>
        </w:tc>
        <w:tc>
          <w:tcPr>
            <w:tcW w:type="dxa" w:w="2412"/>
            <w:shd w:val="clear" w:color="auto" w:fill="0F4C75"/>
          </w:tcPr>
          <w:p>
            <w:r>
              <w:rPr>
                <w:rFonts w:ascii="Arial" w:hAnsi="Arial"/>
                <w:b/>
                <w:color w:val="FFFFFF"/>
                <w:sz w:val="19"/>
              </w:rPr>
              <w:t>Watch out for</w:t>
            </w:r>
          </w:p>
        </w:tc>
        <w:tc>
          <w:tcPr>
            <w:tcW w:type="dxa" w:w="2412"/>
            <w:shd w:val="clear" w:color="auto" w:fill="0F4C75"/>
          </w:tcPr>
          <w:p>
            <w:r>
              <w:rPr>
                <w:rFonts w:ascii="Arial" w:hAnsi="Arial"/>
                <w:b/>
                <w:color w:val="FFFFFF"/>
                <w:sz w:val="19"/>
              </w:rPr>
              <w:t>Reference</w:t>
            </w:r>
          </w:p>
        </w:tc>
      </w:tr>
      <w:tr>
        <w:tc>
          <w:tcPr>
            <w:tcW w:type="dxa" w:w="2412"/>
          </w:tcPr>
          <w:p>
            <w:r>
              <w:rPr>
                <w:rFonts w:ascii="Arial" w:hAnsi="Arial"/>
                <w:b/>
                <w:color w:val="1A1A2E"/>
                <w:sz w:val="18"/>
              </w:rPr>
              <w:t>ADDIE</w:t>
            </w:r>
          </w:p>
        </w:tc>
        <w:tc>
          <w:tcPr>
            <w:tcW w:type="dxa" w:w="2412"/>
          </w:tcPr>
          <w:p>
            <w:r>
              <w:rPr>
                <w:rFonts w:ascii="Arial" w:hAnsi="Arial"/>
                <w:b w:val="0"/>
                <w:color w:val="2D3748"/>
                <w:sz w:val="18"/>
              </w:rPr>
              <w:t>Scope is stable and requirements are clear up front</w:t>
            </w:r>
          </w:p>
        </w:tc>
        <w:tc>
          <w:tcPr>
            <w:tcW w:type="dxa" w:w="2412"/>
          </w:tcPr>
          <w:p>
            <w:r>
              <w:rPr>
                <w:rFonts w:ascii="Arial" w:hAnsi="Arial"/>
                <w:b w:val="0"/>
                <w:color w:val="2D3748"/>
                <w:sz w:val="18"/>
              </w:rPr>
              <w:t>Slow; feedback comes late; can feel rigid</w:t>
            </w:r>
          </w:p>
        </w:tc>
        <w:tc>
          <w:tcPr>
            <w:tcW w:type="dxa" w:w="2412"/>
          </w:tcPr>
          <w:p>
            <w:r>
              <w:rPr>
                <w:rFonts w:ascii="Arial" w:hAnsi="Arial"/>
                <w:b w:val="0"/>
                <w:color w:val="2D3748"/>
                <w:sz w:val="18"/>
              </w:rPr>
              <w:t>ISD literature</w:t>
            </w:r>
          </w:p>
        </w:tc>
      </w:tr>
      <w:tr>
        <w:tc>
          <w:tcPr>
            <w:tcW w:type="dxa" w:w="2412"/>
          </w:tcPr>
          <w:p>
            <w:r>
              <w:rPr>
                <w:rFonts w:ascii="Arial" w:hAnsi="Arial"/>
                <w:b/>
                <w:color w:val="1A1A2E"/>
                <w:sz w:val="18"/>
              </w:rPr>
              <w:t>SAM</w:t>
            </w:r>
          </w:p>
        </w:tc>
        <w:tc>
          <w:tcPr>
            <w:tcW w:type="dxa" w:w="2412"/>
          </w:tcPr>
          <w:p>
            <w:r>
              <w:rPr>
                <w:rFonts w:ascii="Arial" w:hAnsi="Arial"/>
                <w:b w:val="0"/>
                <w:color w:val="2D3748"/>
                <w:sz w:val="18"/>
              </w:rPr>
              <w:t>Timelines are tight; content is still evolving; you need early stakeholder validation</w:t>
            </w:r>
          </w:p>
        </w:tc>
        <w:tc>
          <w:tcPr>
            <w:tcW w:type="dxa" w:w="2412"/>
          </w:tcPr>
          <w:p>
            <w:r>
              <w:rPr>
                <w:rFonts w:ascii="Arial" w:hAnsi="Arial"/>
                <w:b w:val="0"/>
                <w:color w:val="2D3748"/>
                <w:sz w:val="18"/>
              </w:rPr>
              <w:t>Requires engaged stakeholders for fast review cycles</w:t>
            </w:r>
          </w:p>
        </w:tc>
        <w:tc>
          <w:tcPr>
            <w:tcW w:type="dxa" w:w="2412"/>
          </w:tcPr>
          <w:p>
            <w:r>
              <w:rPr>
                <w:rFonts w:ascii="Arial" w:hAnsi="Arial"/>
                <w:b w:val="0"/>
                <w:color w:val="2D3748"/>
                <w:sz w:val="18"/>
              </w:rPr>
              <w:t>Allen &amp; Sites (2012)</w:t>
            </w:r>
          </w:p>
        </w:tc>
      </w:tr>
      <w:tr>
        <w:tc>
          <w:tcPr>
            <w:tcW w:type="dxa" w:w="2412"/>
          </w:tcPr>
          <w:p>
            <w:r>
              <w:rPr>
                <w:rFonts w:ascii="Arial" w:hAnsi="Arial"/>
                <w:b/>
                <w:color w:val="1A1A2E"/>
                <w:sz w:val="18"/>
              </w:rPr>
              <w:t>Design Thinking</w:t>
            </w:r>
          </w:p>
        </w:tc>
        <w:tc>
          <w:tcPr>
            <w:tcW w:type="dxa" w:w="2412"/>
          </w:tcPr>
          <w:p>
            <w:r>
              <w:rPr>
                <w:rFonts w:ascii="Arial" w:hAnsi="Arial"/>
                <w:b w:val="0"/>
                <w:color w:val="2D3748"/>
                <w:sz w:val="18"/>
              </w:rPr>
              <w:t>The problem or need is ill-defined; learner-centered discovery is needed</w:t>
            </w:r>
          </w:p>
        </w:tc>
        <w:tc>
          <w:tcPr>
            <w:tcW w:type="dxa" w:w="2412"/>
          </w:tcPr>
          <w:p>
            <w:r>
              <w:rPr>
                <w:rFonts w:ascii="Arial" w:hAnsi="Arial"/>
                <w:b w:val="0"/>
                <w:color w:val="2D3748"/>
                <w:sz w:val="18"/>
              </w:rPr>
              <w:t>Can expand scope; needs time to iterate</w:t>
            </w:r>
          </w:p>
        </w:tc>
        <w:tc>
          <w:tcPr>
            <w:tcW w:type="dxa" w:w="2412"/>
          </w:tcPr>
          <w:p>
            <w:r>
              <w:rPr>
                <w:rFonts w:ascii="Arial" w:hAnsi="Arial"/>
                <w:b w:val="0"/>
                <w:color w:val="2D3748"/>
                <w:sz w:val="18"/>
              </w:rPr>
              <w:t>Design thinking literature</w:t>
            </w:r>
          </w:p>
        </w:tc>
      </w:tr>
      <w:tr>
        <w:tc>
          <w:tcPr>
            <w:tcW w:type="dxa" w:w="2412"/>
          </w:tcPr>
          <w:p>
            <w:r>
              <w:rPr>
                <w:rFonts w:ascii="Arial" w:hAnsi="Arial"/>
                <w:b/>
                <w:color w:val="1A1A2E"/>
                <w:sz w:val="18"/>
              </w:rPr>
              <w:t>Action Mapping</w:t>
            </w:r>
          </w:p>
        </w:tc>
        <w:tc>
          <w:tcPr>
            <w:tcW w:type="dxa" w:w="2412"/>
          </w:tcPr>
          <w:p>
            <w:r>
              <w:rPr>
                <w:rFonts w:ascii="Arial" w:hAnsi="Arial"/>
                <w:b w:val="0"/>
                <w:color w:val="2D3748"/>
                <w:sz w:val="18"/>
              </w:rPr>
              <w:t>Risk of an info-dump course; you need a tight link to performance</w:t>
            </w:r>
          </w:p>
        </w:tc>
        <w:tc>
          <w:tcPr>
            <w:tcW w:type="dxa" w:w="2412"/>
          </w:tcPr>
          <w:p>
            <w:r>
              <w:rPr>
                <w:rFonts w:ascii="Arial" w:hAnsi="Arial"/>
                <w:b w:val="0"/>
                <w:color w:val="2D3748"/>
                <w:sz w:val="18"/>
              </w:rPr>
              <w:t>Needs a clear, measurable business goal to anchor it</w:t>
            </w:r>
          </w:p>
        </w:tc>
        <w:tc>
          <w:tcPr>
            <w:tcW w:type="dxa" w:w="2412"/>
          </w:tcPr>
          <w:p>
            <w:r>
              <w:rPr>
                <w:rFonts w:ascii="Arial" w:hAnsi="Arial"/>
                <w:b w:val="0"/>
                <w:color w:val="2D3748"/>
                <w:sz w:val="18"/>
              </w:rPr>
              <w:t>Moore (2017)</w:t>
            </w:r>
          </w:p>
        </w:tc>
      </w:tr>
    </w:tbl>
    <w:p>
      <w:pPr>
        <w:spacing w:after="40"/>
      </w:pP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Whatever you choose, structure the learning experience itself around Gagné’s nine events of instruction — gain attention, inform objectives, stimulate recall, present content, provide guidance, elicit performance, give feedback, assess, and enhance retention (Gagné, 1985).</w:t>
      </w:r>
    </w:p>
    <w:p>
      <w:pPr>
        <w:pStyle w:val="Heading1"/>
        <w:spacing w:before="260" w:after="80"/>
      </w:pPr>
      <w:r>
        <w:rPr>
          <w:rFonts w:ascii="Arial" w:hAnsi="Arial"/>
          <w:b/>
          <w:color w:val="1A1A2E"/>
          <w:sz w:val="30"/>
        </w:rPr>
        <w:t>§8   Evaluation — Map Kirkpatrick to Your Goals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Plan evaluation during analysis, not after. Each level of the Kirkpatrick model traces back to a layer of your goals — that is what keeps evaluation honest (Kirkpatrick &amp; Kirkpatrick, 2016):</w:t>
      </w:r>
    </w:p>
    <w:p>
      <w:pPr>
        <w:spacing w:after="80"/>
      </w:pPr>
      <w:r>
        <w:rPr>
          <w:rFonts w:ascii="Arial" w:hAnsi="Arial"/>
          <w:b/>
          <w:i w:val="0"/>
          <w:color w:val="1A1A2E"/>
          <w:sz w:val="21"/>
        </w:rPr>
        <w:t xml:space="preserve">Level 1 — Reaction:  </w:t>
      </w:r>
      <w:r>
        <w:rPr>
          <w:rFonts w:ascii="Arial" w:hAnsi="Arial"/>
          <w:b w:val="0"/>
          <w:i w:val="0"/>
          <w:color w:val="2D3748"/>
          <w:sz w:val="21"/>
        </w:rPr>
        <w:t>learner experience and relevance (post-training survey).</w:t>
      </w:r>
    </w:p>
    <w:p>
      <w:pPr>
        <w:spacing w:after="80"/>
      </w:pPr>
      <w:r>
        <w:rPr>
          <w:rFonts w:ascii="Arial" w:hAnsi="Arial"/>
          <w:b/>
          <w:i w:val="0"/>
          <w:color w:val="1A1A2E"/>
          <w:sz w:val="21"/>
        </w:rPr>
        <w:t xml:space="preserve">Level 2 — Learning:  </w:t>
      </w:r>
      <w:r>
        <w:rPr>
          <w:rFonts w:ascii="Arial" w:hAnsi="Arial"/>
          <w:b w:val="0"/>
          <w:i w:val="0"/>
          <w:color w:val="2D3748"/>
          <w:sz w:val="21"/>
        </w:rPr>
        <w:t>the learning objectives (§7.3), measured by assessment.</w:t>
      </w:r>
    </w:p>
    <w:p>
      <w:pPr>
        <w:spacing w:after="80"/>
      </w:pPr>
      <w:r>
        <w:rPr>
          <w:rFonts w:ascii="Arial" w:hAnsi="Arial"/>
          <w:b/>
          <w:i w:val="0"/>
          <w:color w:val="1A1A2E"/>
          <w:sz w:val="21"/>
        </w:rPr>
        <w:t xml:space="preserve">Level 3 — Behavior:  </w:t>
      </w:r>
      <w:r>
        <w:rPr>
          <w:rFonts w:ascii="Arial" w:hAnsi="Arial"/>
          <w:b w:val="0"/>
          <w:i w:val="0"/>
          <w:color w:val="2D3748"/>
          <w:sz w:val="21"/>
        </w:rPr>
        <w:t>the task analysis (§6.2), measured by on-the-job application.</w:t>
      </w:r>
    </w:p>
    <w:p>
      <w:pPr>
        <w:spacing w:after="80"/>
      </w:pPr>
      <w:r>
        <w:rPr>
          <w:rFonts w:ascii="Arial" w:hAnsi="Arial"/>
          <w:b/>
          <w:i w:val="0"/>
          <w:color w:val="1A1A2E"/>
          <w:sz w:val="21"/>
        </w:rPr>
        <w:t xml:space="preserve">Level 4 — Results:  </w:t>
      </w:r>
      <w:r>
        <w:rPr>
          <w:rFonts w:ascii="Arial" w:hAnsi="Arial"/>
          <w:b w:val="0"/>
          <w:i w:val="0"/>
          <w:color w:val="2D3748"/>
          <w:sz w:val="21"/>
        </w:rPr>
        <w:t>the business goals (§3), measured by the original metrics.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Define the success criteria for each level up front, while you still have stakeholder attention.</w:t>
      </w:r>
    </w:p>
    <w:p>
      <w:pPr>
        <w:pStyle w:val="Heading1"/>
        <w:spacing w:before="260" w:after="80"/>
      </w:pPr>
      <w:r>
        <w:rPr>
          <w:rFonts w:ascii="Arial" w:hAnsi="Arial"/>
          <w:b/>
          <w:color w:val="1A1A2E"/>
          <w:sz w:val="30"/>
        </w:rPr>
        <w:t>§11   Constraints and Assumptions</w:t>
      </w:r>
    </w:p>
    <w:p>
      <w:pPr>
        <w:spacing w:after="80"/>
      </w:pPr>
      <w:r>
        <w:rPr>
          <w:rFonts w:ascii="Arial" w:hAnsi="Arial"/>
          <w:b/>
          <w:i w:val="0"/>
          <w:color w:val="1A1A2E"/>
          <w:sz w:val="21"/>
        </w:rPr>
        <w:t xml:space="preserve">Constraints (hard limits):  </w:t>
      </w:r>
      <w:r>
        <w:rPr>
          <w:rFonts w:ascii="Arial" w:hAnsi="Arial"/>
          <w:b w:val="0"/>
          <w:i w:val="0"/>
          <w:color w:val="2D3748"/>
          <w:sz w:val="21"/>
        </w:rPr>
        <w:t>budget, deadline, headcount, technology, compliance, scheduling. State them so design stays realistic.</w:t>
      </w:r>
    </w:p>
    <w:p>
      <w:pPr>
        <w:spacing w:after="80"/>
      </w:pPr>
      <w:r>
        <w:rPr>
          <w:rFonts w:ascii="Arial" w:hAnsi="Arial"/>
          <w:b/>
          <w:i w:val="0"/>
          <w:color w:val="1A1A2E"/>
          <w:sz w:val="21"/>
        </w:rPr>
        <w:t xml:space="preserve">Assumptions (taken as true, to validate):  </w:t>
      </w:r>
      <w:r>
        <w:rPr>
          <w:rFonts w:ascii="Arial" w:hAnsi="Arial"/>
          <w:b w:val="0"/>
          <w:i w:val="0"/>
          <w:color w:val="2D3748"/>
          <w:sz w:val="21"/>
        </w:rPr>
        <w:t>SME availability, device access, leadership support, and any vendor or timeline dependencies.</w:t>
      </w:r>
    </w:p>
    <w:p>
      <w:pPr>
        <w:spacing w:after="120"/>
      </w:pPr>
      <w:r>
        <w:rPr>
          <w:rFonts w:ascii="Arial" w:hAnsi="Arial"/>
          <w:b w:val="0"/>
          <w:i w:val="0"/>
          <w:color w:val="2D3748"/>
          <w:sz w:val="22"/>
        </w:rPr>
        <w:t>Every assumption is a risk if it proves false. Cross-check this list against your Risks section (§10) — anything fragile belongs in both.</w:t>
      </w:r>
    </w:p>
    <w:p>
      <w:pPr>
        <w:pStyle w:val="Heading1"/>
        <w:spacing w:before="260" w:after="80"/>
      </w:pPr>
      <w:r>
        <w:rPr>
          <w:rFonts w:ascii="Arial" w:hAnsi="Arial"/>
          <w:b/>
          <w:color w:val="1A1A2E"/>
          <w:sz w:val="30"/>
        </w:rPr>
        <w:t>References</w:t>
      </w:r>
    </w:p>
    <w:p>
      <w:pPr>
        <w:spacing w:after="160"/>
      </w:pPr>
      <w:r>
        <w:rPr>
          <w:rFonts w:ascii="Arial" w:hAnsi="Arial"/>
          <w:b w:val="0"/>
          <w:i/>
          <w:color w:val="718096"/>
          <w:sz w:val="20"/>
        </w:rPr>
        <w:t>Citations follow APA (7th edition) style.</w:t>
      </w:r>
    </w:p>
    <w:p>
      <w:pPr>
        <w:spacing w:after="120"/>
        <w:ind w:left="720" w:hanging="720"/>
      </w:pPr>
      <w:r>
        <w:rPr>
          <w:rFonts w:ascii="Arial" w:hAnsi="Arial"/>
          <w:b w:val="0"/>
          <w:i w:val="0"/>
          <w:color w:val="2D3748"/>
          <w:sz w:val="21"/>
        </w:rPr>
        <w:t xml:space="preserve">Allen, M. W., &amp; Sites, R. (2012). </w:t>
      </w:r>
      <w:r>
        <w:rPr>
          <w:rFonts w:ascii="Arial" w:hAnsi="Arial"/>
          <w:b w:val="0"/>
          <w:i/>
          <w:color w:val="2D3748"/>
          <w:sz w:val="21"/>
        </w:rPr>
        <w:t>Leaving ADDIE for SAM: An agile model for developing the best learning experiences</w:t>
      </w:r>
      <w:r>
        <w:rPr>
          <w:rFonts w:ascii="Arial" w:hAnsi="Arial"/>
          <w:b w:val="0"/>
          <w:i w:val="0"/>
          <w:color w:val="2D3748"/>
          <w:sz w:val="21"/>
        </w:rPr>
        <w:t>. ASTD Press.</w:t>
      </w:r>
    </w:p>
    <w:p>
      <w:pPr>
        <w:spacing w:after="120"/>
        <w:ind w:left="720" w:hanging="720"/>
      </w:pPr>
      <w:r>
        <w:rPr>
          <w:rFonts w:ascii="Arial" w:hAnsi="Arial"/>
          <w:b w:val="0"/>
          <w:i w:val="0"/>
          <w:color w:val="2D3748"/>
          <w:sz w:val="21"/>
        </w:rPr>
        <w:t xml:space="preserve">Dick, W., Carey, L., &amp; Carey, J. O. (2015). </w:t>
      </w:r>
      <w:r>
        <w:rPr>
          <w:rFonts w:ascii="Arial" w:hAnsi="Arial"/>
          <w:b w:val="0"/>
          <w:i/>
          <w:color w:val="2D3748"/>
          <w:sz w:val="21"/>
        </w:rPr>
        <w:t>The systematic design of instruction</w:t>
      </w:r>
      <w:r>
        <w:rPr>
          <w:rFonts w:ascii="Arial" w:hAnsi="Arial"/>
          <w:b w:val="0"/>
          <w:i w:val="0"/>
          <w:color w:val="2D3748"/>
          <w:sz w:val="21"/>
        </w:rPr>
        <w:t xml:space="preserve"> (8th ed.). Pearson.</w:t>
      </w:r>
    </w:p>
    <w:p>
      <w:pPr>
        <w:spacing w:after="120"/>
        <w:ind w:left="720" w:hanging="720"/>
      </w:pPr>
      <w:r>
        <w:rPr>
          <w:rFonts w:ascii="Arial" w:hAnsi="Arial"/>
          <w:b w:val="0"/>
          <w:i w:val="0"/>
          <w:color w:val="2D3748"/>
          <w:sz w:val="21"/>
        </w:rPr>
        <w:t xml:space="preserve">Gagné, R. M. (1985). </w:t>
      </w:r>
      <w:r>
        <w:rPr>
          <w:rFonts w:ascii="Arial" w:hAnsi="Arial"/>
          <w:b w:val="0"/>
          <w:i/>
          <w:color w:val="2D3748"/>
          <w:sz w:val="21"/>
        </w:rPr>
        <w:t>The conditions of learning and theory of instruction</w:t>
      </w:r>
      <w:r>
        <w:rPr>
          <w:rFonts w:ascii="Arial" w:hAnsi="Arial"/>
          <w:b w:val="0"/>
          <w:i w:val="0"/>
          <w:color w:val="2D3748"/>
          <w:sz w:val="21"/>
        </w:rPr>
        <w:t xml:space="preserve"> (4th ed.). Holt, Rinehart and Winston.</w:t>
      </w:r>
    </w:p>
    <w:p>
      <w:pPr>
        <w:spacing w:after="120"/>
        <w:ind w:left="720" w:hanging="720"/>
      </w:pPr>
      <w:r>
        <w:rPr>
          <w:rFonts w:ascii="Arial" w:hAnsi="Arial"/>
          <w:b w:val="0"/>
          <w:i w:val="0"/>
          <w:color w:val="2D3748"/>
          <w:sz w:val="21"/>
        </w:rPr>
        <w:t xml:space="preserve">Jonassen, D. H., Tessmer, M., &amp; Hannum, W. H. (1999). </w:t>
      </w:r>
      <w:r>
        <w:rPr>
          <w:rFonts w:ascii="Arial" w:hAnsi="Arial"/>
          <w:b w:val="0"/>
          <w:i/>
          <w:color w:val="2D3748"/>
          <w:sz w:val="21"/>
        </w:rPr>
        <w:t>Task analysis methods for instructional design</w:t>
      </w:r>
      <w:r>
        <w:rPr>
          <w:rFonts w:ascii="Arial" w:hAnsi="Arial"/>
          <w:b w:val="0"/>
          <w:i w:val="0"/>
          <w:color w:val="2D3748"/>
          <w:sz w:val="21"/>
        </w:rPr>
        <w:t>. Lawrence Erlbaum Associates.</w:t>
      </w:r>
    </w:p>
    <w:p>
      <w:pPr>
        <w:spacing w:after="120"/>
        <w:ind w:left="720" w:hanging="720"/>
      </w:pPr>
      <w:r>
        <w:rPr>
          <w:rFonts w:ascii="Arial" w:hAnsi="Arial"/>
          <w:b w:val="0"/>
          <w:i w:val="0"/>
          <w:color w:val="2D3748"/>
          <w:sz w:val="21"/>
        </w:rPr>
        <w:t xml:space="preserve">Keller, J. M. (1987). Development and use of the ARCS model of instructional design. </w:t>
      </w:r>
      <w:r>
        <w:rPr>
          <w:rFonts w:ascii="Arial" w:hAnsi="Arial"/>
          <w:b w:val="0"/>
          <w:i/>
          <w:color w:val="2D3748"/>
          <w:sz w:val="21"/>
        </w:rPr>
        <w:t>Journal of Instructional Development, 10</w:t>
      </w:r>
      <w:r>
        <w:rPr>
          <w:rFonts w:ascii="Arial" w:hAnsi="Arial"/>
          <w:b w:val="0"/>
          <w:i w:val="0"/>
          <w:color w:val="2D3748"/>
          <w:sz w:val="21"/>
        </w:rPr>
        <w:t>(3), 2–10. https://doi.org/10.1007/BF02905780</w:t>
      </w:r>
    </w:p>
    <w:p>
      <w:pPr>
        <w:spacing w:after="120"/>
        <w:ind w:left="720" w:hanging="720"/>
      </w:pPr>
      <w:r>
        <w:rPr>
          <w:rFonts w:ascii="Arial" w:hAnsi="Arial"/>
          <w:b w:val="0"/>
          <w:i w:val="0"/>
          <w:color w:val="2D3748"/>
          <w:sz w:val="21"/>
        </w:rPr>
        <w:t xml:space="preserve">Keller, J. M. (2010). </w:t>
      </w:r>
      <w:r>
        <w:rPr>
          <w:rFonts w:ascii="Arial" w:hAnsi="Arial"/>
          <w:b w:val="0"/>
          <w:i/>
          <w:color w:val="2D3748"/>
          <w:sz w:val="21"/>
        </w:rPr>
        <w:t>Motivational design for learning and performance: The ARCS model approach</w:t>
      </w:r>
      <w:r>
        <w:rPr>
          <w:rFonts w:ascii="Arial" w:hAnsi="Arial"/>
          <w:b w:val="0"/>
          <w:i w:val="0"/>
          <w:color w:val="2D3748"/>
          <w:sz w:val="21"/>
        </w:rPr>
        <w:t>. Springer.</w:t>
      </w:r>
    </w:p>
    <w:p>
      <w:pPr>
        <w:spacing w:after="120"/>
        <w:ind w:left="720" w:hanging="720"/>
      </w:pPr>
      <w:r>
        <w:rPr>
          <w:rFonts w:ascii="Arial" w:hAnsi="Arial"/>
          <w:b w:val="0"/>
          <w:i w:val="0"/>
          <w:color w:val="2D3748"/>
          <w:sz w:val="21"/>
        </w:rPr>
        <w:t xml:space="preserve">Kirkpatrick, J. D., &amp; Kirkpatrick, W. K. (2016). </w:t>
      </w:r>
      <w:r>
        <w:rPr>
          <w:rFonts w:ascii="Arial" w:hAnsi="Arial"/>
          <w:b w:val="0"/>
          <w:i/>
          <w:color w:val="2D3748"/>
          <w:sz w:val="21"/>
        </w:rPr>
        <w:t>Kirkpatrick’s four levels of training evaluation</w:t>
      </w:r>
      <w:r>
        <w:rPr>
          <w:rFonts w:ascii="Arial" w:hAnsi="Arial"/>
          <w:b w:val="0"/>
          <w:i w:val="0"/>
          <w:color w:val="2D3748"/>
          <w:sz w:val="21"/>
        </w:rPr>
        <w:t>. ATD Press.</w:t>
      </w:r>
    </w:p>
    <w:p>
      <w:pPr>
        <w:spacing w:after="120"/>
        <w:ind w:left="720" w:hanging="720"/>
      </w:pPr>
      <w:r>
        <w:rPr>
          <w:rFonts w:ascii="Arial" w:hAnsi="Arial"/>
          <w:b w:val="0"/>
          <w:i w:val="0"/>
          <w:color w:val="2D3748"/>
          <w:sz w:val="21"/>
        </w:rPr>
        <w:t xml:space="preserve">Mager, R. F., &amp; Pipe, P. (1997). </w:t>
      </w:r>
      <w:r>
        <w:rPr>
          <w:rFonts w:ascii="Arial" w:hAnsi="Arial"/>
          <w:b w:val="0"/>
          <w:i/>
          <w:color w:val="2D3748"/>
          <w:sz w:val="21"/>
        </w:rPr>
        <w:t>Analyzing performance problems: Or, you really oughta wanna</w:t>
      </w:r>
      <w:r>
        <w:rPr>
          <w:rFonts w:ascii="Arial" w:hAnsi="Arial"/>
          <w:b w:val="0"/>
          <w:i w:val="0"/>
          <w:color w:val="2D3748"/>
          <w:sz w:val="21"/>
        </w:rPr>
        <w:t xml:space="preserve"> (3rd ed.). The Center for Effective Performance.</w:t>
      </w:r>
    </w:p>
    <w:p>
      <w:pPr>
        <w:spacing w:after="120"/>
        <w:ind w:left="720" w:hanging="720"/>
      </w:pPr>
      <w:r>
        <w:rPr>
          <w:rFonts w:ascii="Arial" w:hAnsi="Arial"/>
          <w:b w:val="0"/>
          <w:i w:val="0"/>
          <w:color w:val="2D3748"/>
          <w:sz w:val="21"/>
        </w:rPr>
        <w:t xml:space="preserve">Moore, C. (2017). </w:t>
      </w:r>
      <w:r>
        <w:rPr>
          <w:rFonts w:ascii="Arial" w:hAnsi="Arial"/>
          <w:b w:val="0"/>
          <w:i/>
          <w:color w:val="2D3748"/>
          <w:sz w:val="21"/>
        </w:rPr>
        <w:t>Map it: The hands-on guide to strategic training design</w:t>
      </w:r>
      <w:r>
        <w:rPr>
          <w:rFonts w:ascii="Arial" w:hAnsi="Arial"/>
          <w:b w:val="0"/>
          <w:i w:val="0"/>
          <w:color w:val="2D3748"/>
          <w:sz w:val="21"/>
        </w:rPr>
        <w:t>. Montesa Press.</w:t>
      </w:r>
    </w:p>
    <w:p>
      <w:pPr>
        <w:spacing w:after="120"/>
        <w:ind w:left="720" w:hanging="720"/>
      </w:pPr>
      <w:r>
        <w:rPr>
          <w:rFonts w:ascii="Arial" w:hAnsi="Arial"/>
          <w:b w:val="0"/>
          <w:i w:val="0"/>
          <w:color w:val="2D3748"/>
          <w:sz w:val="21"/>
        </w:rPr>
        <w:t xml:space="preserve">Rossett, A. (1987). </w:t>
      </w:r>
      <w:r>
        <w:rPr>
          <w:rFonts w:ascii="Arial" w:hAnsi="Arial"/>
          <w:b w:val="0"/>
          <w:i/>
          <w:color w:val="2D3748"/>
          <w:sz w:val="21"/>
        </w:rPr>
        <w:t>Training needs assessment</w:t>
      </w:r>
      <w:r>
        <w:rPr>
          <w:rFonts w:ascii="Arial" w:hAnsi="Arial"/>
          <w:b w:val="0"/>
          <w:i w:val="0"/>
          <w:color w:val="2D3748"/>
          <w:sz w:val="21"/>
        </w:rPr>
        <w:t>. Educational Technology Publications.</w:t>
      </w:r>
    </w:p>
    <w:p>
      <w:pPr>
        <w:spacing w:after="120"/>
        <w:ind w:left="720" w:hanging="720"/>
      </w:pPr>
      <w:r>
        <w:rPr>
          <w:rFonts w:ascii="Arial" w:hAnsi="Arial"/>
          <w:b w:val="0"/>
          <w:i w:val="0"/>
          <w:color w:val="2D3748"/>
          <w:sz w:val="21"/>
        </w:rPr>
        <w:t xml:space="preserve">Rossett, A. (2009). </w:t>
      </w:r>
      <w:r>
        <w:rPr>
          <w:rFonts w:ascii="Arial" w:hAnsi="Arial"/>
          <w:b w:val="0"/>
          <w:i/>
          <w:color w:val="2D3748"/>
          <w:sz w:val="21"/>
        </w:rPr>
        <w:t>First things fast: A handbook for performance analysis</w:t>
      </w:r>
      <w:r>
        <w:rPr>
          <w:rFonts w:ascii="Arial" w:hAnsi="Arial"/>
          <w:b w:val="0"/>
          <w:i w:val="0"/>
          <w:color w:val="2D3748"/>
          <w:sz w:val="21"/>
        </w:rPr>
        <w:t xml:space="preserve"> (2nd ed.). Pfeiffer.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D3748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Needs Analysis — ID Field Guide</dc:title>
  <dc:subject/>
  <dc:creator>Zachariah Dornisch</dc:creator>
  <cp:keywords/>
  <dc:description>generated by python-docx</dc:description>
  <cp:lastModifiedBy>Zachariah Dornisch</cp:lastModifiedBy>
  <cp:revision>1</cp:revision>
  <dcterms:created xsi:type="dcterms:W3CDTF">2013-12-23T23:15:00Z</dcterms:created>
  <dcterms:modified xsi:type="dcterms:W3CDTF">2013-12-23T23:15:00Z</dcterms:modified>
  <cp:category/>
</cp:coreProperties>
</file>