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LEARNING NEEDS ANALYSIS</w:t>
      </w:r>
    </w:p>
    <w:p>
      <w:pPr>
        <w:spacing w:after="100"/>
        <w:jc w:val="center"/>
      </w:pPr>
      <w:r>
        <w:rPr>
          <w:rFonts w:ascii="Arial" w:cs="Arial" w:eastAsia="Arial" w:hAnsi="Arial"/>
          <w:color w:val="3282B8"/>
          <w:sz w:val="28"/>
          <w:szCs w:val="28"/>
        </w:rPr>
        <w:t xml:space="preserve">MeridianChart EHR Implementation Training Program</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Meridian Health Partners</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Zach Dornisch, M.S. IDT</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March 2026</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03/01/2026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Initial Draft</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03/15/2026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1.1</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Incorporated stakeholder feedback</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spacing w:before="360"/>
      </w:pPr>
    </w:p>
    <w:p>
      <w:pPr>
        <w:pStyle w:val="Heading1"/>
        <w:spacing w:after="120" w:before="360"/>
      </w:pPr>
      <w:r>
        <w:rPr>
          <w:rFonts w:ascii="Arial" w:cs="Arial" w:eastAsia="Arial" w:hAnsi="Arial"/>
          <w:b/>
          <w:bCs/>
          <w:color w:val="1A1A2E"/>
          <w:sz w:val="32"/>
          <w:szCs w:val="32"/>
        </w:rPr>
        <w:t xml:space="preserve">Project Resources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Sponsor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 Chief Medical Officer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Instructional Designer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Zach Dornisch, M.S. IDT</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Subject Matter Expert (IT)</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 IT Director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Subject Matter Expert (Clinical)</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Maria Santos, Clinical Lead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Manager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 Operations Manager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Change Management Lead</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Rachel Kim, HR Director</w:t>
            </w:r>
          </w:p>
        </w:tc>
      </w:tr>
    </w:tbl>
    <w:p>
      <w:r>
        <w:br w:type="page"/>
      </w:r>
    </w:p>
    <w:p>
      <w:pPr>
        <w:pStyle w:val="Heading1"/>
        <w:spacing w:after="120" w:before="360"/>
      </w:pPr>
      <w:r>
        <w:rPr>
          <w:rFonts w:ascii="Arial" w:cs="Arial" w:eastAsia="Arial" w:hAnsi="Arial"/>
          <w:b/>
          <w:bCs/>
          <w:color w:val="1A1A2E"/>
          <w:sz w:val="32"/>
          <w:szCs w:val="32"/>
        </w:rPr>
        <w:t xml:space="preserve">1. Executive Summary</w:t>
      </w:r>
    </w:p>
    <w:p>
      <w:pPr>
        <w:spacing w:after="120"/>
      </w:pPr>
      <w:r>
        <w:rPr>
          <w:rFonts w:ascii="Arial" w:cs="Arial" w:eastAsia="Arial" w:hAnsi="Arial"/>
          <w:color w:val="2D3748"/>
          <w:sz w:val="20"/>
          <w:szCs w:val="20"/>
        </w:rPr>
        <w:t xml:space="preserve">Meridian Health Partners is a regional healthcare organization operating 12 clinics across three states, serving over 85,000 patients annually. To improve clinical workflows, reduce documentation errors, and support continued growth, leadership has approved the adoption of MeridianChart, a new electronic health records (EHR) system that will replace the legacy platform currently in use.</w:t>
      </w:r>
    </w:p>
    <w:p>
      <w:pPr>
        <w:spacing w:after="120"/>
      </w:pPr>
      <w:r>
        <w:rPr>
          <w:rFonts w:ascii="Arial" w:cs="Arial" w:eastAsia="Arial" w:hAnsi="Arial"/>
          <w:color w:val="2D3748"/>
          <w:sz w:val="20"/>
          <w:szCs w:val="20"/>
        </w:rPr>
        <w:t xml:space="preserve">This needs analysis was conducted to assess the current state of employee readiness, identify performance gaps, and recommend a training strategy that ensures all 339 staff members can use MeridianChart confidently and consistently at go-live. The analysis draws on stakeholder interviews, a workforce-wide survey, direct workflow observations, and a review of existing training infrastructure.</w:t>
      </w:r>
    </w:p>
    <w:p>
      <w:pPr>
        <w:spacing w:after="120"/>
      </w:pPr>
      <w:r>
        <w:rPr>
          <w:rFonts w:ascii="Arial" w:cs="Arial" w:eastAsia="Arial" w:hAnsi="Arial"/>
          <w:b/>
          <w:bCs/>
          <w:color w:val="2D3748"/>
          <w:sz w:val="20"/>
          <w:szCs w:val="20"/>
        </w:rPr>
        <w:t xml:space="preserve">Key Findings: </w:t>
      </w:r>
      <w:r>
        <w:rPr>
          <w:rFonts w:ascii="Arial" w:cs="Arial" w:eastAsia="Arial" w:hAnsi="Arial"/>
          <w:color w:val="2D3748"/>
          <w:sz w:val="20"/>
          <w:szCs w:val="20"/>
        </w:rPr>
        <w:t xml:space="preserve">The analysis reveals three critical gaps. First, digital literacy varies significantly across roles, with physicians reporting the lowest comfort with new technology and administrative staff reporting the highest. Second, the organization relies almost entirely on informal peer-to-peer training for the current EHR, meaning there is no formal curriculum, no documented workflows, and no structured onboarding for new hires. Third, documentation error rates have reached 23% in recent audits, directly tied to inconsistent charting practices across clinics. These gaps represent both a challenge and a clear opportunity to build a structured, role-specific training program that supports the EHR transition while establishing a foundation for continuous learning across the organization.</w:t>
      </w:r>
    </w:p>
    <w:p>
      <w:pPr>
        <w:pStyle w:val="Heading1"/>
        <w:spacing w:after="120" w:before="360"/>
      </w:pPr>
      <w:r>
        <w:rPr>
          <w:rFonts w:ascii="Arial" w:cs="Arial" w:eastAsia="Arial" w:hAnsi="Arial"/>
          <w:b/>
          <w:bCs/>
          <w:color w:val="1A1A2E"/>
          <w:sz w:val="32"/>
          <w:szCs w:val="32"/>
        </w:rPr>
        <w:t xml:space="preserve">2. Background and Business Context</w:t>
      </w:r>
    </w:p>
    <w:p>
      <w:pPr>
        <w:spacing w:after="120"/>
      </w:pPr>
      <w:r>
        <w:rPr>
          <w:rFonts w:ascii="Arial" w:cs="Arial" w:eastAsia="Arial" w:hAnsi="Arial"/>
          <w:color w:val="2D3748"/>
          <w:sz w:val="20"/>
          <w:szCs w:val="20"/>
        </w:rPr>
        <w:t xml:space="preserve">Meridian Health Partners has experienced 40% patient volume growth over the past three years, expanding from 8 to 12 clinic locations. This growth has exposed limitations in the current EHR system, implemented in 2018, which no longer meets the organization’s operational or compliance requirements. Common issues include slow charting workflows, limited interoperability between departments, and an increasing rate of documentation errors flagged in internal audits.</w:t>
      </w:r>
    </w:p>
    <w:p>
      <w:pPr>
        <w:spacing w:after="120"/>
      </w:pPr>
      <w:r>
        <w:rPr>
          <w:rFonts w:ascii="Arial" w:cs="Arial" w:eastAsia="Arial" w:hAnsi="Arial"/>
          <w:color w:val="2D3748"/>
          <w:sz w:val="20"/>
          <w:szCs w:val="20"/>
        </w:rPr>
        <w:t xml:space="preserve">The decision to implement MeridianChart was approved by the executive leadership team in Q4 2025, with a targeted go-live date of September 2026. The new system introduces a unified patient record, streamlined order entry, and integrated scheduling. However, the success of this transition depends entirely on the workforce’s ability to adopt MeridianChart confidently and consistently. Previous technology rollouts at Meridian relied on vendor-provided training alone, which resulted in low adoption rates and persistent workarounds that undermined the system’s intended benefits.</w:t>
      </w:r>
    </w:p>
    <w:p>
      <w:pPr>
        <w:spacing w:after="120"/>
      </w:pPr>
      <w:r>
        <w:rPr>
          <w:rFonts w:ascii="Arial" w:cs="Arial" w:eastAsia="Arial" w:hAnsi="Arial"/>
          <w:color w:val="2D3748"/>
          <w:sz w:val="20"/>
          <w:szCs w:val="20"/>
        </w:rPr>
        <w:t xml:space="preserve">This needs analysis was initiated to ensure the training program is grounded in data, aligned with organizational goals, and designed to address the specific needs of each role. It represents the Analysis phase of the project, following the Successive Approximation Model (SAM) methodology selected for this initiative.</w:t>
      </w:r>
    </w:p>
    <w:p>
      <w:pPr>
        <w:pStyle w:val="Heading1"/>
        <w:spacing w:after="120" w:before="360"/>
      </w:pPr>
      <w:r>
        <w:rPr>
          <w:rFonts w:ascii="Arial" w:cs="Arial" w:eastAsia="Arial" w:hAnsi="Arial"/>
          <w:b/>
          <w:bCs/>
          <w:color w:val="1A1A2E"/>
          <w:sz w:val="32"/>
          <w:szCs w:val="32"/>
        </w:rPr>
        <w:t xml:space="preserve">3. Project Scope and Objectives</w:t>
      </w:r>
    </w:p>
    <w:p>
      <w:pPr>
        <w:pStyle w:val="Heading2"/>
        <w:spacing w:after="120" w:before="240"/>
      </w:pPr>
      <w:r>
        <w:rPr>
          <w:rFonts w:ascii="Arial" w:cs="Arial" w:eastAsia="Arial" w:hAnsi="Arial"/>
          <w:b/>
          <w:bCs/>
          <w:color w:val="1A1A2E"/>
          <w:sz w:val="26"/>
          <w:szCs w:val="26"/>
        </w:rPr>
        <w:t xml:space="preserve">Scope</w:t>
      </w:r>
    </w:p>
    <w:p>
      <w:pPr>
        <w:spacing w:after="120"/>
      </w:pPr>
      <w:r>
        <w:rPr>
          <w:rFonts w:ascii="Arial" w:cs="Arial" w:eastAsia="Arial" w:hAnsi="Arial"/>
          <w:color w:val="2D3748"/>
          <w:sz w:val="20"/>
          <w:szCs w:val="20"/>
        </w:rPr>
        <w:t xml:space="preserve">This analysis covers all employee roles that interact with the EHR system across all 12 clinic locations, including clinical staff (physicians, nurses, medical assistants), administrative staff (front desk, billing, scheduling), and IT support personnel. The scope includes assessing current system usage patterns, identifying measurable performance gaps, evaluating existing training resources and infrastructure, and recommending a role-specific instructional approach.</w:t>
      </w:r>
    </w:p>
    <w:p>
      <w:pPr>
        <w:spacing w:after="120"/>
      </w:pPr>
      <w:r>
        <w:rPr>
          <w:rFonts w:ascii="Arial" w:cs="Arial" w:eastAsia="Arial" w:hAnsi="Arial"/>
          <w:b/>
          <w:bCs/>
          <w:color w:val="2D3748"/>
          <w:sz w:val="20"/>
          <w:szCs w:val="20"/>
        </w:rPr>
        <w:t xml:space="preserve">Out of Scope: </w:t>
      </w:r>
      <w:r>
        <w:rPr>
          <w:rFonts w:ascii="Arial" w:cs="Arial" w:eastAsia="Arial" w:hAnsi="Arial"/>
          <w:color w:val="2D3748"/>
          <w:sz w:val="20"/>
          <w:szCs w:val="20"/>
        </w:rPr>
        <w:t xml:space="preserve">MeridianChart system configuration and technical implementation (managed by IT), vendor certification pathways for IT staff, and organization-wide change management communications (managed by HR with L&amp;D input).</w:t>
      </w:r>
    </w:p>
    <w:p>
      <w:pPr>
        <w:pStyle w:val="Heading2"/>
        <w:spacing w:after="120" w:before="240"/>
      </w:pPr>
      <w:r>
        <w:rPr>
          <w:rFonts w:ascii="Arial" w:cs="Arial" w:eastAsia="Arial" w:hAnsi="Arial"/>
          <w:b/>
          <w:bCs/>
          <w:color w:val="1A1A2E"/>
          <w:sz w:val="26"/>
          <w:szCs w:val="26"/>
        </w:rPr>
        <w:t xml:space="preserve">Objectives</w:t>
      </w:r>
    </w:p>
    <w:p>
      <w:pPr>
        <w:pStyle w:val="ListParagraph"/>
        <w:numPr>
          <w:ilvl w:val="0"/>
          <w:numId w:val="2"/>
        </w:numPr>
        <w:spacing w:after="60"/>
      </w:pPr>
      <w:r>
        <w:rPr>
          <w:rFonts w:ascii="Arial" w:cs="Arial" w:eastAsia="Arial" w:hAnsi="Arial"/>
          <w:color w:val="2D3748"/>
          <w:sz w:val="20"/>
          <w:szCs w:val="20"/>
        </w:rPr>
        <w:t xml:space="preserve">Identify the specific knowledge and skill gaps that must be addressed before MeridianChart go-live, broken down by role group.</w:t>
      </w:r>
    </w:p>
    <w:p>
      <w:pPr>
        <w:pStyle w:val="ListParagraph"/>
        <w:numPr>
          <w:ilvl w:val="0"/>
          <w:numId w:val="2"/>
        </w:numPr>
        <w:spacing w:after="60"/>
      </w:pPr>
      <w:r>
        <w:rPr>
          <w:rFonts w:ascii="Arial" w:cs="Arial" w:eastAsia="Arial" w:hAnsi="Arial"/>
          <w:color w:val="2D3748"/>
          <w:sz w:val="20"/>
          <w:szCs w:val="20"/>
        </w:rPr>
        <w:t xml:space="preserve">Analyze the target audience by role to understand their unique training needs, technical comfort levels, workflow requirements, and environmental constraints.</w:t>
      </w:r>
    </w:p>
    <w:p>
      <w:pPr>
        <w:pStyle w:val="ListParagraph"/>
        <w:numPr>
          <w:ilvl w:val="0"/>
          <w:numId w:val="2"/>
        </w:numPr>
        <w:spacing w:after="60"/>
      </w:pPr>
      <w:r>
        <w:rPr>
          <w:rFonts w:ascii="Arial" w:cs="Arial" w:eastAsia="Arial" w:hAnsi="Arial"/>
          <w:color w:val="2D3748"/>
          <w:sz w:val="20"/>
          <w:szCs w:val="20"/>
        </w:rPr>
        <w:t xml:space="preserve">Evaluate existing training resources and infrastructure to determine what can be leveraged and what must be developed from scratch.</w:t>
      </w:r>
    </w:p>
    <w:p>
      <w:pPr>
        <w:pStyle w:val="ListParagraph"/>
        <w:numPr>
          <w:ilvl w:val="0"/>
          <w:numId w:val="2"/>
        </w:numPr>
        <w:spacing w:after="60"/>
      </w:pPr>
      <w:r>
        <w:rPr>
          <w:rFonts w:ascii="Arial" w:cs="Arial" w:eastAsia="Arial" w:hAnsi="Arial"/>
          <w:color w:val="2D3748"/>
          <w:sz w:val="20"/>
          <w:szCs w:val="20"/>
        </w:rPr>
        <w:t xml:space="preserve">Recommend a training strategy with specific delivery methods, estimated durations, and a phased timeline tied to the September 2026 go-live.</w:t>
      </w:r>
    </w:p>
    <w:p>
      <w:pPr>
        <w:pStyle w:val="ListParagraph"/>
        <w:numPr>
          <w:ilvl w:val="0"/>
          <w:numId w:val="2"/>
        </w:numPr>
        <w:spacing w:after="60"/>
      </w:pPr>
      <w:r>
        <w:rPr>
          <w:rFonts w:ascii="Arial" w:cs="Arial" w:eastAsia="Arial" w:hAnsi="Arial"/>
          <w:color w:val="2D3748"/>
          <w:sz w:val="20"/>
          <w:szCs w:val="20"/>
        </w:rPr>
        <w:t xml:space="preserve">Establish measurable learning objectives that align directly with organizational performance goals, including documentation accuracy and charting efficiency targets.</w:t>
      </w:r>
    </w:p>
    <w:p>
      <w:pPr>
        <w:pStyle w:val="Heading1"/>
        <w:spacing w:after="120" w:before="360"/>
      </w:pPr>
      <w:r>
        <w:rPr>
          <w:rFonts w:ascii="Arial" w:cs="Arial" w:eastAsia="Arial" w:hAnsi="Arial"/>
          <w:b/>
          <w:bCs/>
          <w:color w:val="1A1A2E"/>
          <w:sz w:val="32"/>
          <w:szCs w:val="32"/>
        </w:rPr>
        <w:t xml:space="preserve">4. Data Collection Methodology</w:t>
      </w:r>
    </w:p>
    <w:p>
      <w:pPr>
        <w:spacing w:after="120"/>
      </w:pPr>
      <w:r>
        <w:rPr>
          <w:rFonts w:ascii="Arial" w:cs="Arial" w:eastAsia="Arial" w:hAnsi="Arial"/>
          <w:color w:val="2D3748"/>
          <w:sz w:val="20"/>
          <w:szCs w:val="20"/>
        </w:rPr>
        <w:t xml:space="preserve">Data was gathered using a mixed-methods approach to ensure a comprehensive and triangulated understanding of the current state. Each method was selected to capture a different dimension of training need: strategic priorities from leadership, self-reported readiness from staff, observed behavior in clinical settings, and gaps in existing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120"/>
        <w:gridCol w:w="2120"/>
        <w:gridCol w:w="3120"/>
      </w:tblGrid>
      <w:tr>
        <w:tc>
          <w:tcPr>
            <w:tcW w:type="dxa" w:w="20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Participants</w:t>
            </w:r>
          </w:p>
        </w:tc>
        <w:tc>
          <w:tcPr>
            <w:tcW w:type="dxa" w:w="2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Sample Size</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Key Focus</w:t>
            </w:r>
          </w:p>
        </w:tc>
      </w:tr>
      <w:tr>
        <w:tc>
          <w:tcPr>
            <w:tcW w:type="dxa" w:w="20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Stakeholder Interviews</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Department heads, IT leadership, CMO</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 interviews (45–60 min each)</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Strategic priorities, known pain points, success criteria, past training failures</w:t>
            </w:r>
          </w:p>
        </w:tc>
      </w:tr>
      <w:tr>
        <w:tc>
          <w:tcPr>
            <w:tcW w:type="dxa" w:w="20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Employee Survey</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All EHR users across 12 clinics</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312 responses (74% response rate)</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Current proficiency levels, learning preferences, scheduling constraints, concerns about the transition</w:t>
            </w:r>
          </w:p>
        </w:tc>
      </w:tr>
      <w:tr>
        <w:tc>
          <w:tcPr>
            <w:tcW w:type="dxa" w:w="20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Workflow Observations</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Clinical and administrative staff</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24 sessions across 6 clinics</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Actual system usage patterns, workarounds, undocumented shortcuts, pain points in daily workflows</w:t>
            </w:r>
          </w:p>
        </w:tc>
      </w:tr>
      <w:tr>
        <w:tc>
          <w:tcPr>
            <w:tcW w:type="dxa" w:w="20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Document Review</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N/A</w:t>
            </w:r>
          </w:p>
        </w:tc>
        <w:tc>
          <w:tcPr>
            <w:tcW w:type="dxa" w:w="2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SOPs, training materials, audit reports, vendor documentation</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Current standards, gaps in documentation, accuracy of existing materials relative to actual workflows</w:t>
            </w:r>
          </w:p>
        </w:tc>
      </w:tr>
    </w:tbl>
    <w:p>
      <w:pPr>
        <w:pStyle w:val="Heading1"/>
        <w:spacing w:after="120" w:before="360"/>
      </w:pPr>
      <w:r>
        <w:rPr>
          <w:rFonts w:ascii="Arial" w:cs="Arial" w:eastAsia="Arial" w:hAnsi="Arial"/>
          <w:b/>
          <w:bCs/>
          <w:color w:val="1A1A2E"/>
          <w:sz w:val="32"/>
          <w:szCs w:val="32"/>
        </w:rPr>
        <w:t xml:space="preserve">5. Findings</w:t>
      </w:r>
    </w:p>
    <w:p>
      <w:pPr>
        <w:pStyle w:val="Heading2"/>
        <w:spacing w:after="120" w:before="240"/>
      </w:pPr>
      <w:r>
        <w:rPr>
          <w:rFonts w:ascii="Arial" w:cs="Arial" w:eastAsia="Arial" w:hAnsi="Arial"/>
          <w:b/>
          <w:bCs/>
          <w:color w:val="1A1A2E"/>
          <w:sz w:val="26"/>
          <w:szCs w:val="26"/>
        </w:rPr>
        <w:t xml:space="preserve">5.1 Audience Analysis</w:t>
      </w:r>
    </w:p>
    <w:p>
      <w:pPr>
        <w:spacing w:after="120"/>
      </w:pPr>
      <w:r>
        <w:rPr>
          <w:rFonts w:ascii="Arial" w:cs="Arial" w:eastAsia="Arial" w:hAnsi="Arial"/>
          <w:color w:val="2D3748"/>
          <w:sz w:val="20"/>
          <w:szCs w:val="20"/>
        </w:rPr>
        <w:t xml:space="preserve">The workforce at Meridian Health Partners is diverse in both role and technical proficiency. The following table summarizes the primary audience segments, including factors that directly influence training design decisions.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248"/>
        <w:gridCol w:w="1248"/>
        <w:gridCol w:w="1560"/>
        <w:gridCol w:w="1872"/>
        <w:gridCol w:w="1872"/>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 Group</w:t>
            </w:r>
          </w:p>
        </w:tc>
        <w:tc>
          <w:tcPr>
            <w:tcW w:type="dxa" w:w="1248"/>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Count</w:t>
            </w:r>
          </w:p>
        </w:tc>
        <w:tc>
          <w:tcPr>
            <w:tcW w:type="dxa" w:w="1248"/>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Avg. Age</w:t>
            </w:r>
          </w:p>
        </w:tc>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Tech Comfort</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Primary EHR Tasks</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Key Constraints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Physicians</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48</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42</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Moderate</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Charting, orders, referrals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Limited availability; 10–15 min between patients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Nurses / MAs</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156</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34</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Moderate–High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Vitals, intake, documentation</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Largest group; rotating shifts across clinics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Admin / Front Desk</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89</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29</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Scheduling, check-in, insurance</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 patient volume; limited downtime</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Billing / Coding</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34</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38</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Claims, coding, payment posting</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Compliance-critical; zero tolerance for errors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Support</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12</w:t>
            </w:r>
          </w:p>
        </w:tc>
        <w:tc>
          <w:tcPr>
            <w:tcW w:type="dxa" w:w="1248"/>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31</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Very High</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System admin, troubleshooting</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Train-the-trainer candidates; need deep system knowledge</w:t>
            </w:r>
          </w:p>
        </w:tc>
      </w:tr>
    </w:tbl>
    <w:p>
      <w:pPr>
        <w:spacing w:before="200"/>
      </w:pPr>
    </w:p>
    <w:p>
      <w:pPr>
        <w:pStyle w:val="Heading3"/>
        <w:spacing w:after="120" w:before="240"/>
      </w:pPr>
      <w:r>
        <w:rPr>
          <w:rFonts w:ascii="Arial" w:cs="Arial" w:eastAsia="Arial" w:hAnsi="Arial"/>
          <w:b/>
          <w:bCs/>
          <w:color w:val="1A1A2E"/>
          <w:sz w:val="22"/>
          <w:szCs w:val="22"/>
        </w:rPr>
        <w:t xml:space="preserve">Entry Characteristics</w:t>
      </w:r>
    </w:p>
    <w:p>
      <w:pPr>
        <w:pStyle w:val="ListParagraph"/>
        <w:numPr>
          <w:ilvl w:val="0"/>
          <w:numId w:val="2"/>
        </w:numPr>
        <w:spacing w:after="60"/>
      </w:pPr>
      <w:r>
        <w:rPr>
          <w:rFonts w:ascii="Arial" w:cs="Arial" w:eastAsia="Arial" w:hAnsi="Arial"/>
          <w:color w:val="2D3748"/>
          <w:sz w:val="20"/>
          <w:szCs w:val="20"/>
        </w:rPr>
        <w:t xml:space="preserve">All staff are generally familiar with basic healthcare technology and use a computer or tablet daily.</w:t>
      </w:r>
    </w:p>
    <w:p>
      <w:pPr>
        <w:pStyle w:val="ListParagraph"/>
        <w:numPr>
          <w:ilvl w:val="0"/>
          <w:numId w:val="2"/>
        </w:numPr>
        <w:spacing w:after="60"/>
      </w:pPr>
      <w:r>
        <w:rPr>
          <w:rFonts w:ascii="Arial" w:cs="Arial" w:eastAsia="Arial" w:hAnsi="Arial"/>
          <w:color w:val="2D3748"/>
          <w:sz w:val="20"/>
          <w:szCs w:val="20"/>
        </w:rPr>
        <w:t xml:space="preserve">62% of staff report low confidence in learning new systems, driven by a previous software rollout that lacked adequate training.</w:t>
      </w:r>
    </w:p>
    <w:p>
      <w:pPr>
        <w:pStyle w:val="ListParagraph"/>
        <w:numPr>
          <w:ilvl w:val="0"/>
          <w:numId w:val="2"/>
        </w:numPr>
        <w:spacing w:after="60"/>
      </w:pPr>
      <w:r>
        <w:rPr>
          <w:rFonts w:ascii="Arial" w:cs="Arial" w:eastAsia="Arial" w:hAnsi="Arial"/>
          <w:color w:val="2D3748"/>
          <w:sz w:val="20"/>
          <w:szCs w:val="20"/>
        </w:rPr>
        <w:t xml:space="preserve">Nurses and MAs are most likely to access training on mobile devices or shared workstations during shift transitions.</w:t>
      </w:r>
    </w:p>
    <w:p>
      <w:pPr>
        <w:pStyle w:val="ListParagraph"/>
        <w:numPr>
          <w:ilvl w:val="0"/>
          <w:numId w:val="2"/>
        </w:numPr>
        <w:spacing w:after="60"/>
      </w:pPr>
      <w:r>
        <w:rPr>
          <w:rFonts w:ascii="Arial" w:cs="Arial" w:eastAsia="Arial" w:hAnsi="Arial"/>
          <w:color w:val="2D3748"/>
          <w:sz w:val="20"/>
          <w:szCs w:val="20"/>
        </w:rPr>
        <w:t xml:space="preserve">Physicians strongly prefer self-paced, concise content they can complete between patient appointments.</w:t>
      </w:r>
    </w:p>
    <w:p>
      <w:pPr>
        <w:pStyle w:val="ListParagraph"/>
        <w:numPr>
          <w:ilvl w:val="0"/>
          <w:numId w:val="2"/>
        </w:numPr>
        <w:spacing w:after="60"/>
      </w:pPr>
      <w:r>
        <w:rPr>
          <w:rFonts w:ascii="Arial" w:cs="Arial" w:eastAsia="Arial" w:hAnsi="Arial"/>
          <w:color w:val="2D3748"/>
          <w:sz w:val="20"/>
          <w:szCs w:val="20"/>
        </w:rPr>
        <w:t xml:space="preserve">No staff have prior experience with MeridianChart specifically.</w:t>
      </w:r>
    </w:p>
    <w:p>
      <w:pPr>
        <w:pStyle w:val="Heading2"/>
        <w:spacing w:after="120" w:before="240"/>
      </w:pPr>
      <w:r>
        <w:rPr>
          <w:rFonts w:ascii="Arial" w:cs="Arial" w:eastAsia="Arial" w:hAnsi="Arial"/>
          <w:b/>
          <w:bCs/>
          <w:color w:val="1A1A2E"/>
          <w:sz w:val="26"/>
          <w:szCs w:val="26"/>
        </w:rPr>
        <w:t xml:space="preserve">5.2 Performance Gap Analysis</w:t>
      </w:r>
    </w:p>
    <w:p>
      <w:pPr>
        <w:spacing w:after="120"/>
      </w:pPr>
      <w:r>
        <w:rPr>
          <w:rFonts w:ascii="Arial" w:cs="Arial" w:eastAsia="Arial" w:hAnsi="Arial"/>
          <w:color w:val="2D3748"/>
          <w:sz w:val="20"/>
          <w:szCs w:val="20"/>
        </w:rPr>
        <w:t xml:space="preserve">The following gaps were identified through triangulation of survey data, observation findings, and stakeholder interviews.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Current State</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Desired State</w:t>
            </w:r>
          </w:p>
        </w:tc>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Gap</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Staff use undocumented workarounds and shortcuts in the current EHR</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Staff follow standardized workflows in MeridianChart</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 formal workflow documentation exists; practices vary across clinics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New hires learn the EHR through informal peer observation</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Structured onboarding with role-specific EHR training</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 formal EHR training curriculum; knowledge transfer is inconsistent</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Documentation errors flagged in 23% of audited charts</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Documentation error rate below 5%</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Lack of standardized charting templates and quality checks</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62% of staff report low confidence in learning new systems</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Staff feel prepared and supported through the transition</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Previous technology rollouts failed to include adequate change management and training</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Average charting time: 12.4 minutes per patient encounter</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Charting time under 10 minutes with MeridianChart workflows</w:t>
            </w:r>
          </w:p>
        </w:tc>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Current system requires excessive manual entry and navigation</w:t>
            </w:r>
          </w:p>
        </w:tc>
      </w:tr>
    </w:tbl>
    <w:p>
      <w:pPr>
        <w:pStyle w:val="Heading2"/>
        <w:spacing w:after="120" w:before="240"/>
      </w:pPr>
      <w:r>
        <w:rPr>
          <w:rFonts w:ascii="Arial" w:cs="Arial" w:eastAsia="Arial" w:hAnsi="Arial"/>
          <w:b/>
          <w:bCs/>
          <w:color w:val="1A1A2E"/>
          <w:sz w:val="26"/>
          <w:szCs w:val="26"/>
        </w:rPr>
        <w:t xml:space="preserve">5.3 Root Cause Analysis</w:t>
      </w:r>
    </w:p>
    <w:p>
      <w:pPr>
        <w:spacing w:after="120"/>
      </w:pPr>
      <w:r>
        <w:rPr>
          <w:rFonts w:ascii="Arial" w:cs="Arial" w:eastAsia="Arial" w:hAnsi="Arial"/>
          <w:color w:val="2D3748"/>
          <w:sz w:val="20"/>
          <w:szCs w:val="20"/>
        </w:rPr>
        <w:t xml:space="preserve">The performance gaps identified are not solely attributable to a lack of knowledge. The root cause analysis reveals contributing factors across five categories:</w:t>
      </w:r>
    </w:p>
    <w:p>
      <w:pPr>
        <w:pStyle w:val="ListParagraph"/>
        <w:numPr>
          <w:ilvl w:val="0"/>
          <w:numId w:val="2"/>
        </w:numPr>
        <w:spacing w:after="60"/>
      </w:pPr>
      <w:r>
        <w:rPr>
          <w:rFonts w:ascii="Arial" w:cs="Arial" w:eastAsia="Arial" w:hAnsi="Arial"/>
          <w:b/>
          <w:bCs/>
          <w:color w:val="2D3748"/>
          <w:sz w:val="20"/>
          <w:szCs w:val="20"/>
        </w:rPr>
        <w:t xml:space="preserve">Knowledge: </w:t>
      </w:r>
      <w:r>
        <w:rPr>
          <w:rFonts w:ascii="Arial" w:cs="Arial" w:eastAsia="Arial" w:hAnsi="Arial"/>
          <w:color w:val="2D3748"/>
          <w:sz w:val="20"/>
          <w:szCs w:val="20"/>
        </w:rPr>
        <w:t xml:space="preserve">Staff have not received formal training on the current EHR system. Most learned through observation, trial and error, and informal peer coaching. This has created inconsistent skill levels and undocumented practices.</w:t>
      </w:r>
    </w:p>
    <w:p>
      <w:pPr>
        <w:pStyle w:val="ListParagraph"/>
        <w:numPr>
          <w:ilvl w:val="0"/>
          <w:numId w:val="2"/>
        </w:numPr>
        <w:spacing w:after="60"/>
      </w:pPr>
      <w:r>
        <w:rPr>
          <w:rFonts w:ascii="Arial" w:cs="Arial" w:eastAsia="Arial" w:hAnsi="Arial"/>
          <w:b/>
          <w:bCs/>
          <w:color w:val="2D3748"/>
          <w:sz w:val="20"/>
          <w:szCs w:val="20"/>
        </w:rPr>
        <w:t xml:space="preserve">Process: </w:t>
      </w:r>
      <w:r>
        <w:rPr>
          <w:rFonts w:ascii="Arial" w:cs="Arial" w:eastAsia="Arial" w:hAnsi="Arial"/>
          <w:color w:val="2D3748"/>
          <w:sz w:val="20"/>
          <w:szCs w:val="20"/>
        </w:rPr>
        <w:t xml:space="preserve">No standardized workflows exist across clinics. Each location has developed its own charting conventions, which means a nurse transferring between clinics must relearn local practices.</w:t>
      </w:r>
    </w:p>
    <w:p>
      <w:pPr>
        <w:pStyle w:val="ListParagraph"/>
        <w:numPr>
          <w:ilvl w:val="0"/>
          <w:numId w:val="2"/>
        </w:numPr>
        <w:spacing w:after="60"/>
      </w:pPr>
      <w:r>
        <w:rPr>
          <w:rFonts w:ascii="Arial" w:cs="Arial" w:eastAsia="Arial" w:hAnsi="Arial"/>
          <w:b/>
          <w:bCs/>
          <w:color w:val="2D3748"/>
          <w:sz w:val="20"/>
          <w:szCs w:val="20"/>
        </w:rPr>
        <w:t xml:space="preserve">Environment: </w:t>
      </w:r>
      <w:r>
        <w:rPr>
          <w:rFonts w:ascii="Arial" w:cs="Arial" w:eastAsia="Arial" w:hAnsi="Arial"/>
          <w:color w:val="2D3748"/>
          <w:sz w:val="20"/>
          <w:szCs w:val="20"/>
        </w:rPr>
        <w:t xml:space="preserve">Clinical staff have 10–15 minutes between patients and cannot dedicate extended blocks to training. Training must be modular and accessible at the point of need.</w:t>
      </w:r>
    </w:p>
    <w:p>
      <w:pPr>
        <w:pStyle w:val="ListParagraph"/>
        <w:numPr>
          <w:ilvl w:val="0"/>
          <w:numId w:val="2"/>
        </w:numPr>
        <w:spacing w:after="60"/>
      </w:pPr>
      <w:r>
        <w:rPr>
          <w:rFonts w:ascii="Arial" w:cs="Arial" w:eastAsia="Arial" w:hAnsi="Arial"/>
          <w:b/>
          <w:bCs/>
          <w:color w:val="2D3748"/>
          <w:sz w:val="20"/>
          <w:szCs w:val="20"/>
        </w:rPr>
        <w:t xml:space="preserve">Motivation: </w:t>
      </w:r>
      <w:r>
        <w:rPr>
          <w:rFonts w:ascii="Arial" w:cs="Arial" w:eastAsia="Arial" w:hAnsi="Arial"/>
          <w:color w:val="2D3748"/>
          <w:sz w:val="20"/>
          <w:szCs w:val="20"/>
        </w:rPr>
        <w:t xml:space="preserve">A previous software rollout (patient portal, 2022) was poorly communicated and inadequately trained, resulting in staff skepticism about new technology initiatives. 47% of survey respondents cited this experience as a concern.</w:t>
      </w:r>
    </w:p>
    <w:p>
      <w:pPr>
        <w:pStyle w:val="ListParagraph"/>
        <w:numPr>
          <w:ilvl w:val="0"/>
          <w:numId w:val="2"/>
        </w:numPr>
        <w:spacing w:after="60"/>
      </w:pPr>
      <w:r>
        <w:rPr>
          <w:rFonts w:ascii="Arial" w:cs="Arial" w:eastAsia="Arial" w:hAnsi="Arial"/>
          <w:b/>
          <w:bCs/>
          <w:color w:val="2D3748"/>
          <w:sz w:val="20"/>
          <w:szCs w:val="20"/>
        </w:rPr>
        <w:t xml:space="preserve">Resources: </w:t>
      </w:r>
      <w:r>
        <w:rPr>
          <w:rFonts w:ascii="Arial" w:cs="Arial" w:eastAsia="Arial" w:hAnsi="Arial"/>
          <w:color w:val="2D3748"/>
          <w:sz w:val="20"/>
          <w:szCs w:val="20"/>
        </w:rPr>
        <w:t xml:space="preserve">Current training materials consist of PDF guides created in 2019 that do not reflect actual workflows. No video-based, interactive, or scenario-based training resources exist for EHR usage.</w:t>
      </w:r>
    </w:p>
    <w:p>
      <w:pPr>
        <w:pStyle w:val="Heading2"/>
        <w:spacing w:after="120" w:before="240"/>
      </w:pPr>
      <w:r>
        <w:rPr>
          <w:rFonts w:ascii="Arial" w:cs="Arial" w:eastAsia="Arial" w:hAnsi="Arial"/>
          <w:b/>
          <w:bCs/>
          <w:color w:val="1A1A2E"/>
          <w:sz w:val="26"/>
          <w:szCs w:val="26"/>
        </w:rPr>
        <w:t xml:space="preserve">5.4 Existing Training Resources</w:t>
      </w:r>
    </w:p>
    <w:p>
      <w:pPr>
        <w:spacing w:after="120"/>
      </w:pPr>
      <w:r>
        <w:rPr>
          <w:rFonts w:ascii="Arial" w:cs="Arial" w:eastAsia="Arial" w:hAnsi="Arial"/>
          <w:color w:val="2D3748"/>
          <w:sz w:val="20"/>
          <w:szCs w:val="20"/>
        </w:rPr>
        <w:t xml:space="preserve">A review of existing training infrastructure revealed the following:</w:t>
      </w:r>
    </w:p>
    <w:p>
      <w:pPr>
        <w:pStyle w:val="ListParagraph"/>
        <w:numPr>
          <w:ilvl w:val="0"/>
          <w:numId w:val="2"/>
        </w:numPr>
        <w:spacing w:after="60"/>
      </w:pPr>
      <w:r>
        <w:rPr>
          <w:rFonts w:ascii="Arial" w:cs="Arial" w:eastAsia="Arial" w:hAnsi="Arial"/>
          <w:color w:val="2D3748"/>
          <w:sz w:val="20"/>
          <w:szCs w:val="20"/>
        </w:rPr>
        <w:t xml:space="preserve">The organization has an active LMS (HealthLearn) capable of hosting SCORM-compliant content, tracking completions, and generating reports. It is currently underutilized.</w:t>
      </w:r>
    </w:p>
    <w:p>
      <w:pPr>
        <w:pStyle w:val="ListParagraph"/>
        <w:numPr>
          <w:ilvl w:val="0"/>
          <w:numId w:val="2"/>
        </w:numPr>
        <w:spacing w:after="60"/>
      </w:pPr>
      <w:r>
        <w:rPr>
          <w:rFonts w:ascii="Arial" w:cs="Arial" w:eastAsia="Arial" w:hAnsi="Arial"/>
          <w:color w:val="2D3748"/>
          <w:sz w:val="20"/>
          <w:szCs w:val="20"/>
        </w:rPr>
        <w:t xml:space="preserve">Existing EHR training materials consist of PDF quick-start guides created in 2019 that have not been updated and do not reflect current workflows or the new system.</w:t>
      </w:r>
    </w:p>
    <w:p>
      <w:pPr>
        <w:pStyle w:val="ListParagraph"/>
        <w:numPr>
          <w:ilvl w:val="0"/>
          <w:numId w:val="2"/>
        </w:numPr>
        <w:spacing w:after="60"/>
      </w:pPr>
      <w:r>
        <w:rPr>
          <w:rFonts w:ascii="Arial" w:cs="Arial" w:eastAsia="Arial" w:hAnsi="Arial"/>
          <w:color w:val="2D3748"/>
          <w:sz w:val="20"/>
          <w:szCs w:val="20"/>
        </w:rPr>
        <w:t xml:space="preserve">No video-based training, interactive eLearning, scenario-based assessments, or role-specific job aids currently exist for EHR usage.</w:t>
      </w:r>
    </w:p>
    <w:p>
      <w:pPr>
        <w:pStyle w:val="ListParagraph"/>
        <w:numPr>
          <w:ilvl w:val="0"/>
          <w:numId w:val="2"/>
        </w:numPr>
        <w:spacing w:after="60"/>
      </w:pPr>
      <w:r>
        <w:rPr>
          <w:rFonts w:ascii="Arial" w:cs="Arial" w:eastAsia="Arial" w:hAnsi="Arial"/>
          <w:color w:val="2D3748"/>
          <w:sz w:val="20"/>
          <w:szCs w:val="20"/>
        </w:rPr>
        <w:t xml:space="preserve">The IT department has access to MeridianChart’s vendor-provided training library, which covers system features at a generic level but does not address Meridian’s specific workflows, role requirements, or organizational context.</w:t>
      </w:r>
    </w:p>
    <w:p>
      <w:pPr>
        <w:pStyle w:val="ListParagraph"/>
        <w:numPr>
          <w:ilvl w:val="0"/>
          <w:numId w:val="2"/>
        </w:numPr>
        <w:spacing w:after="60"/>
      </w:pPr>
      <w:r>
        <w:rPr>
          <w:rFonts w:ascii="Arial" w:cs="Arial" w:eastAsia="Arial" w:hAnsi="Arial"/>
          <w:color w:val="2D3748"/>
          <w:sz w:val="20"/>
          <w:szCs w:val="20"/>
        </w:rPr>
        <w:t xml:space="preserve">Six clinic-based staff members have been identified as potential peer champions based on their technology proficiency and influence among colleagues.</w:t>
      </w:r>
    </w:p>
    <w:p>
      <w:pPr>
        <w:pStyle w:val="Heading1"/>
        <w:spacing w:after="120" w:before="360"/>
      </w:pPr>
      <w:r>
        <w:rPr>
          <w:rFonts w:ascii="Arial" w:cs="Arial" w:eastAsia="Arial" w:hAnsi="Arial"/>
          <w:b/>
          <w:bCs/>
          <w:color w:val="1A1A2E"/>
          <w:sz w:val="32"/>
          <w:szCs w:val="32"/>
        </w:rPr>
        <w:t xml:space="preserve">6. Recommended Training Strategy</w:t>
      </w:r>
    </w:p>
    <w:p>
      <w:pPr>
        <w:pStyle w:val="Heading2"/>
        <w:spacing w:after="120" w:before="240"/>
      </w:pPr>
      <w:r>
        <w:rPr>
          <w:rFonts w:ascii="Arial" w:cs="Arial" w:eastAsia="Arial" w:hAnsi="Arial"/>
          <w:b/>
          <w:bCs/>
          <w:color w:val="1A1A2E"/>
          <w:sz w:val="26"/>
          <w:szCs w:val="26"/>
        </w:rPr>
        <w:t xml:space="preserve">6.1 Instructional Approach</w:t>
      </w:r>
    </w:p>
    <w:p>
      <w:pPr>
        <w:spacing w:after="120"/>
      </w:pPr>
      <w:r>
        <w:rPr>
          <w:rFonts w:ascii="Arial" w:cs="Arial" w:eastAsia="Arial" w:hAnsi="Arial"/>
          <w:color w:val="2D3748"/>
          <w:sz w:val="20"/>
          <w:szCs w:val="20"/>
        </w:rPr>
        <w:t xml:space="preserve">Based on the findings, the recommended approach uses a blended learning model informed by the Successive Approximation Model (SAM). SAM was selected over traditional ADDIE for three reasons: the tight development timeline requires rapid prototyping rather than sequential phases, the content must closely mirror actual clinical workflows that are still being finalized, and the iterative feedback loops built into SAM allow stakeholders to validate accuracy at every stage.</w:t>
      </w:r>
    </w:p>
    <w:p>
      <w:pPr>
        <w:spacing w:after="120"/>
      </w:pPr>
      <w:r>
        <w:rPr>
          <w:rFonts w:ascii="Arial" w:cs="Arial" w:eastAsia="Arial" w:hAnsi="Arial"/>
          <w:color w:val="2D3748"/>
          <w:sz w:val="20"/>
          <w:szCs w:val="20"/>
        </w:rPr>
        <w:t xml:space="preserve">The training program will include:</w:t>
      </w:r>
    </w:p>
    <w:p>
      <w:pPr>
        <w:pStyle w:val="ListParagraph"/>
        <w:numPr>
          <w:ilvl w:val="0"/>
          <w:numId w:val="2"/>
        </w:numPr>
        <w:spacing w:after="60"/>
      </w:pPr>
      <w:r>
        <w:rPr>
          <w:rFonts w:ascii="Arial" w:cs="Arial" w:eastAsia="Arial" w:hAnsi="Arial"/>
          <w:b/>
          <w:bCs/>
          <w:color w:val="2D3748"/>
          <w:sz w:val="20"/>
          <w:szCs w:val="20"/>
        </w:rPr>
        <w:t xml:space="preserve">Role-specific eLearning modules </w:t>
      </w:r>
      <w:r>
        <w:rPr>
          <w:rFonts w:ascii="Arial" w:cs="Arial" w:eastAsia="Arial" w:hAnsi="Arial"/>
          <w:color w:val="2D3748"/>
          <w:sz w:val="20"/>
          <w:szCs w:val="20"/>
        </w:rPr>
        <w:t xml:space="preserve">delivered asynchronously through the existing LMS, covering core workflows, system navigation, and conceptual understanding. Developed in Articulate Storyline 360 for interactive, scenario-based learning.</w:t>
      </w:r>
    </w:p>
    <w:p>
      <w:pPr>
        <w:pStyle w:val="ListParagraph"/>
        <w:numPr>
          <w:ilvl w:val="0"/>
          <w:numId w:val="2"/>
        </w:numPr>
        <w:spacing w:after="60"/>
      </w:pPr>
      <w:r>
        <w:rPr>
          <w:rFonts w:ascii="Arial" w:cs="Arial" w:eastAsia="Arial" w:hAnsi="Arial"/>
          <w:b/>
          <w:bCs/>
          <w:color w:val="2D3748"/>
          <w:sz w:val="20"/>
          <w:szCs w:val="20"/>
        </w:rPr>
        <w:t xml:space="preserve">Instructor-led practice sessions </w:t>
      </w:r>
      <w:r>
        <w:rPr>
          <w:rFonts w:ascii="Arial" w:cs="Arial" w:eastAsia="Arial" w:hAnsi="Arial"/>
          <w:color w:val="2D3748"/>
          <w:sz w:val="20"/>
          <w:szCs w:val="20"/>
        </w:rPr>
        <w:t xml:space="preserve">(virtual and in-person) using a sandbox environment for hands-on system use with guided scenarios and real-time feedback from facilitators.</w:t>
      </w:r>
    </w:p>
    <w:p>
      <w:pPr>
        <w:pStyle w:val="ListParagraph"/>
        <w:numPr>
          <w:ilvl w:val="0"/>
          <w:numId w:val="2"/>
        </w:numPr>
        <w:spacing w:after="60"/>
      </w:pPr>
      <w:r>
        <w:rPr>
          <w:rFonts w:ascii="Arial" w:cs="Arial" w:eastAsia="Arial" w:hAnsi="Arial"/>
          <w:b/>
          <w:bCs/>
          <w:color w:val="2D3748"/>
          <w:sz w:val="20"/>
          <w:szCs w:val="20"/>
        </w:rPr>
        <w:t xml:space="preserve">Job aids and quick reference guides </w:t>
      </w:r>
      <w:r>
        <w:rPr>
          <w:rFonts w:ascii="Arial" w:cs="Arial" w:eastAsia="Arial" w:hAnsi="Arial"/>
          <w:color w:val="2D3748"/>
          <w:sz w:val="20"/>
          <w:szCs w:val="20"/>
        </w:rPr>
        <w:t xml:space="preserve">accessible at the point of need, designed for use during live patient interactions. Available as laminated cards, PDF downloads, and in-LMS resources.</w:t>
      </w:r>
    </w:p>
    <w:p>
      <w:pPr>
        <w:pStyle w:val="ListParagraph"/>
        <w:numPr>
          <w:ilvl w:val="0"/>
          <w:numId w:val="2"/>
        </w:numPr>
        <w:spacing w:after="60"/>
      </w:pPr>
      <w:r>
        <w:rPr>
          <w:rFonts w:ascii="Arial" w:cs="Arial" w:eastAsia="Arial" w:hAnsi="Arial"/>
          <w:b/>
          <w:bCs/>
          <w:color w:val="2D3748"/>
          <w:sz w:val="20"/>
          <w:szCs w:val="20"/>
        </w:rPr>
        <w:t xml:space="preserve">Scenario-based assessments </w:t>
      </w:r>
      <w:r>
        <w:rPr>
          <w:rFonts w:ascii="Arial" w:cs="Arial" w:eastAsia="Arial" w:hAnsi="Arial"/>
          <w:color w:val="2D3748"/>
          <w:sz w:val="20"/>
          <w:szCs w:val="20"/>
        </w:rPr>
        <w:t xml:space="preserve">that simulate real-world tasks to validate competency before go-live. Passing score of 80% with one remediation attempt.</w:t>
      </w:r>
    </w:p>
    <w:p>
      <w:pPr>
        <w:pStyle w:val="ListParagraph"/>
        <w:numPr>
          <w:ilvl w:val="0"/>
          <w:numId w:val="2"/>
        </w:numPr>
        <w:spacing w:after="60"/>
      </w:pPr>
      <w:r>
        <w:rPr>
          <w:rFonts w:ascii="Arial" w:cs="Arial" w:eastAsia="Arial" w:hAnsi="Arial"/>
          <w:b/>
          <w:bCs/>
          <w:color w:val="2D3748"/>
          <w:sz w:val="20"/>
          <w:szCs w:val="20"/>
        </w:rPr>
        <w:t xml:space="preserve">Post-go-live support resources </w:t>
      </w:r>
      <w:r>
        <w:rPr>
          <w:rFonts w:ascii="Arial" w:cs="Arial" w:eastAsia="Arial" w:hAnsi="Arial"/>
          <w:color w:val="2D3748"/>
          <w:sz w:val="20"/>
          <w:szCs w:val="20"/>
        </w:rPr>
        <w:t xml:space="preserve">including a help desk, peer champion network, and 90-day refresher modules to reinforce learning and address emerging gaps.</w:t>
      </w:r>
    </w:p>
    <w:p>
      <w:pPr>
        <w:pStyle w:val="Heading2"/>
        <w:spacing w:after="120" w:before="240"/>
      </w:pPr>
      <w:r>
        <w:rPr>
          <w:rFonts w:ascii="Arial" w:cs="Arial" w:eastAsia="Arial" w:hAnsi="Arial"/>
          <w:b/>
          <w:bCs/>
          <w:color w:val="1A1A2E"/>
          <w:sz w:val="26"/>
          <w:szCs w:val="26"/>
        </w:rPr>
        <w:t xml:space="preserve">6.2 Delivery Recommendations by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1560"/>
        <w:gridCol w:w="1560"/>
        <w:gridCol w:w="208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 Group</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Primary Delivery</w:t>
            </w:r>
          </w:p>
        </w:tc>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Est. Duration</w:t>
            </w:r>
          </w:p>
        </w:tc>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Sessions</w:t>
            </w:r>
          </w:p>
        </w:tc>
        <w:tc>
          <w:tcPr>
            <w:tcW w:type="dxa" w:w="20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Key Content Areas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Physicians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+ 2 live practice sessions</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6–8 hours total</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Flexible schedule</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Charting, order entry, referral workflows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Nurses / MAs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+ 3 live practice sessions</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8–10 hours total</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Shift-aligned</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Intake, vitals, documentation, medication admin</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Admin / Front Desk</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+ 1 live practice session</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4–6 hours total</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During low-volume hours</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Scheduling, check-in, insurance verification</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Billing / Coding</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+ 2 live practice sessions</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6–8 hours total</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Compliance-reviewed</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Claims processing, coding, payment posting</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Support</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Vendor certification + internal deep-dive</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16–20 hours total</w:t>
            </w:r>
          </w:p>
        </w:tc>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Dedicated block</w:t>
            </w:r>
          </w:p>
        </w:tc>
        <w:tc>
          <w:tcPr>
            <w:tcW w:type="dxa" w:w="20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System admin, troubleshooting, user management</w:t>
            </w:r>
          </w:p>
        </w:tc>
      </w:tr>
    </w:tbl>
    <w:p>
      <w:pPr>
        <w:pStyle w:val="Heading2"/>
        <w:spacing w:after="120" w:before="240"/>
      </w:pPr>
      <w:r>
        <w:rPr>
          <w:rFonts w:ascii="Arial" w:cs="Arial" w:eastAsia="Arial" w:hAnsi="Arial"/>
          <w:b/>
          <w:bCs/>
          <w:color w:val="1A1A2E"/>
          <w:sz w:val="26"/>
          <w:szCs w:val="26"/>
        </w:rPr>
        <w:t xml:space="preserve">6.3 Learning Objectives</w:t>
      </w:r>
    </w:p>
    <w:p>
      <w:pPr>
        <w:spacing w:after="120"/>
      </w:pPr>
      <w:r>
        <w:rPr>
          <w:rFonts w:ascii="Arial" w:cs="Arial" w:eastAsia="Arial" w:hAnsi="Arial"/>
          <w:color w:val="2D3748"/>
          <w:sz w:val="20"/>
          <w:szCs w:val="20"/>
        </w:rPr>
        <w:t xml:space="preserve">The following terminal objectives will guide the design of the training program. Enabling objectives will be defined during the Design phase for each role-specific module.</w:t>
      </w:r>
    </w:p>
    <w:p>
      <w:pPr>
        <w:pStyle w:val="ListParagraph"/>
        <w:numPr>
          <w:ilvl w:val="0"/>
          <w:numId w:val="2"/>
        </w:numPr>
        <w:spacing w:after="60"/>
      </w:pPr>
      <w:r>
        <w:rPr>
          <w:rFonts w:ascii="Arial" w:cs="Arial" w:eastAsia="Arial" w:hAnsi="Arial"/>
          <w:color w:val="2D3748"/>
          <w:sz w:val="20"/>
          <w:szCs w:val="20"/>
        </w:rPr>
        <w:t xml:space="preserve">Upon completion, staff will be able to navigate MeridianChart’s interface and locate role-specific functions without assistance.</w:t>
      </w:r>
    </w:p>
    <w:p>
      <w:pPr>
        <w:pStyle w:val="ListParagraph"/>
        <w:numPr>
          <w:ilvl w:val="0"/>
          <w:numId w:val="2"/>
        </w:numPr>
        <w:spacing w:after="60"/>
      </w:pPr>
      <w:r>
        <w:rPr>
          <w:rFonts w:ascii="Arial" w:cs="Arial" w:eastAsia="Arial" w:hAnsi="Arial"/>
          <w:color w:val="2D3748"/>
          <w:sz w:val="20"/>
          <w:szCs w:val="20"/>
        </w:rPr>
        <w:t xml:space="preserve">Upon completion, clinical staff will be able to complete a patient encounter using standardized documentation workflows with fewer than 2 errors per 20 charts.</w:t>
      </w:r>
    </w:p>
    <w:p>
      <w:pPr>
        <w:pStyle w:val="ListParagraph"/>
        <w:numPr>
          <w:ilvl w:val="0"/>
          <w:numId w:val="2"/>
        </w:numPr>
        <w:spacing w:after="60"/>
      </w:pPr>
      <w:r>
        <w:rPr>
          <w:rFonts w:ascii="Arial" w:cs="Arial" w:eastAsia="Arial" w:hAnsi="Arial"/>
          <w:color w:val="2D3748"/>
          <w:sz w:val="20"/>
          <w:szCs w:val="20"/>
        </w:rPr>
        <w:t xml:space="preserve">Upon completion, administrative staff will be able to process patient scheduling, check-in, and insurance verification in MeridianChart within established time benchmarks.</w:t>
      </w:r>
    </w:p>
    <w:p>
      <w:pPr>
        <w:pStyle w:val="ListParagraph"/>
        <w:numPr>
          <w:ilvl w:val="0"/>
          <w:numId w:val="2"/>
        </w:numPr>
        <w:spacing w:after="60"/>
      </w:pPr>
      <w:r>
        <w:rPr>
          <w:rFonts w:ascii="Arial" w:cs="Arial" w:eastAsia="Arial" w:hAnsi="Arial"/>
          <w:color w:val="2D3748"/>
          <w:sz w:val="20"/>
          <w:szCs w:val="20"/>
        </w:rPr>
        <w:t xml:space="preserve">Upon completion, all staff will be able to identify and report system issues using the established IT support process, including appropriate escalation paths.</w:t>
      </w:r>
    </w:p>
    <w:p>
      <w:pPr>
        <w:pStyle w:val="ListParagraph"/>
        <w:numPr>
          <w:ilvl w:val="0"/>
          <w:numId w:val="2"/>
        </w:numPr>
        <w:spacing w:after="60"/>
      </w:pPr>
      <w:r>
        <w:rPr>
          <w:rFonts w:ascii="Arial" w:cs="Arial" w:eastAsia="Arial" w:hAnsi="Arial"/>
          <w:color w:val="2D3748"/>
          <w:sz w:val="20"/>
          <w:szCs w:val="20"/>
        </w:rPr>
        <w:t xml:space="preserve">Upon completion, billing staff will be able to process claims and payment postings in MeridianChart with zero compliance violations.</w:t>
      </w:r>
    </w:p>
    <w:p>
      <w:pPr>
        <w:pStyle w:val="Heading1"/>
        <w:spacing w:after="120" w:before="360"/>
      </w:pPr>
      <w:r>
        <w:rPr>
          <w:rFonts w:ascii="Arial" w:cs="Arial" w:eastAsia="Arial" w:hAnsi="Arial"/>
          <w:b/>
          <w:bCs/>
          <w:color w:val="1A1A2E"/>
          <w:sz w:val="32"/>
          <w:szCs w:val="32"/>
        </w:rPr>
        <w:t xml:space="preserve">7. Evaluation Plan</w:t>
      </w:r>
    </w:p>
    <w:p>
      <w:pPr>
        <w:spacing w:after="120"/>
      </w:pPr>
      <w:r>
        <w:rPr>
          <w:rFonts w:ascii="Arial" w:cs="Arial" w:eastAsia="Arial" w:hAnsi="Arial"/>
          <w:color w:val="2D3748"/>
          <w:sz w:val="20"/>
          <w:szCs w:val="20"/>
        </w:rPr>
        <w:t xml:space="preserve">Training effectiveness will be measured using the Kirkpatrick Four-Level Evaluation Model. Evaluation instruments and data collection points will be designed during the Development phase and refined during the Pilot.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2600"/>
        <w:gridCol w:w="260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Level</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What It Measures</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Method</w:t>
            </w:r>
          </w:p>
        </w:tc>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Success Criteria</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 – Reaction</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Learner satisfaction, relevance, and engagement</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Post-training Likert scale survey with open-ended questions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Average rating of 4.0/5.0 or higher across all items</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 Learning</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Knowledge and skill acquisition by role</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Scenario-based assessments in sandbox environment</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90% of learners pass with 80% or higher on first or second attempt</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 – Behavior</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On-the-job application of trained workflows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30/60/90-day supervisor observation and chart audits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Documentation error rate below 5% within 90 days of go-live</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 Results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Business impact on operational metrics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Charting time analysis, error rate tracking, patient satisfaction surveys</w:t>
            </w:r>
          </w:p>
        </w:tc>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15% reduction in charting time; patient satisfaction maintained or improved</w:t>
            </w:r>
          </w:p>
        </w:tc>
      </w:tr>
    </w:tbl>
    <w:p>
      <w:pPr>
        <w:pStyle w:val="Heading1"/>
        <w:spacing w:after="120" w:before="360"/>
      </w:pPr>
      <w:r>
        <w:rPr>
          <w:rFonts w:ascii="Arial" w:cs="Arial" w:eastAsia="Arial" w:hAnsi="Arial"/>
          <w:b/>
          <w:bCs/>
          <w:color w:val="1A1A2E"/>
          <w:sz w:val="32"/>
          <w:szCs w:val="32"/>
        </w:rPr>
        <w:t xml:space="preserve">8. Implementation Timeline</w:t>
      </w:r>
    </w:p>
    <w:p>
      <w:pPr>
        <w:spacing w:after="120"/>
      </w:pPr>
      <w:r>
        <w:rPr>
          <w:rFonts w:ascii="Arial" w:cs="Arial" w:eastAsia="Arial" w:hAnsi="Arial"/>
          <w:color w:val="2D3748"/>
          <w:sz w:val="20"/>
          <w:szCs w:val="20"/>
        </w:rPr>
        <w:t xml:space="preserve">The following timeline aligns training development and delivery with the September 2026 MeridianChart go-live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5460"/>
        <w:gridCol w:w="2340"/>
      </w:tblGrid>
      <w:tr>
        <w:tc>
          <w:tcPr>
            <w:tcW w:type="dxa" w:w="15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54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Activities</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Timeline</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Analysis</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Needs analysis, stakeholder interviews, workforce survey, data synthesis, recommendations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Mar – Apr 2026</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Design</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Design documents, storyboards, prototype development, SME review cycles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Apr – May 2026</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Development</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eLearning module build in Articulate Storyline 360, job aid creation, assessment development, ILT facilitation guides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May – Jul 2026</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Pilot</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Pilot training at 2 clinic locations, learner feedback collection, content iteration based on pilot data</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Jul – Aug 2026</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Implementation</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Full rollout across all 12 clinics, go-live support, help desk activation, peer champion deployment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Aug – Sep 2026</w:t>
            </w:r>
          </w:p>
        </w:tc>
      </w:tr>
      <w:tr>
        <w:tc>
          <w:tcPr>
            <w:tcW w:type="dxa" w:w="15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Evaluation</w:t>
            </w:r>
          </w:p>
        </w:tc>
        <w:tc>
          <w:tcPr>
            <w:tcW w:type="dxa" w:w="54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30/60/90-day evaluations, chart audits, program refinement, final evaluation report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Sep – Dec 2026</w:t>
            </w:r>
          </w:p>
        </w:tc>
      </w:tr>
    </w:tbl>
    <w:p>
      <w:pPr>
        <w:pStyle w:val="Heading1"/>
        <w:spacing w:after="120" w:before="360"/>
      </w:pPr>
      <w:r>
        <w:rPr>
          <w:rFonts w:ascii="Arial" w:cs="Arial" w:eastAsia="Arial" w:hAnsi="Arial"/>
          <w:b/>
          <w:bCs/>
          <w:color w:val="1A1A2E"/>
          <w:sz w:val="32"/>
          <w:szCs w:val="32"/>
        </w:rPr>
        <w:t xml:space="preserve">9. Risks and Mitigation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160"/>
        <w:gridCol w:w="1160"/>
        <w:gridCol w:w="4440"/>
      </w:tblGrid>
      <w:tr>
        <w:tc>
          <w:tcPr>
            <w:tcW w:type="dxa" w:w="2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1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Likelihood</w:t>
            </w:r>
          </w:p>
        </w:tc>
        <w:tc>
          <w:tcPr>
            <w:tcW w:type="dxa" w:w="1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Impact</w:t>
            </w:r>
          </w:p>
        </w:tc>
        <w:tc>
          <w:tcPr>
            <w:tcW w:type="dxa" w:w="44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Mitigation Strategy</w:t>
            </w:r>
          </w:p>
        </w:tc>
      </w:tr>
      <w:tr>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Staff resistance to change based on past experience</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4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Early communication plan with leadership visibility; peer champion program at every clinic; address 2022 rollout concerns directly</w:t>
            </w:r>
          </w:p>
        </w:tc>
      </w:tr>
      <w:tr>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Competing clinical priorities reduce training time</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4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Modular design allowing flexible scheduling; executive mandate for protected training time; shift-aligned session offerings</w:t>
            </w:r>
          </w:p>
        </w:tc>
      </w:tr>
      <w:tr>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Sandbox environment delayed by vendor</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Medium</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4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Begin conceptual and workflow training before sandbox is available; escalate timeline risks to vendor PM immediately</w:t>
            </w:r>
          </w:p>
        </w:tc>
      </w:tr>
      <w:tr>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SME availability limited during clinical hours</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Medium</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Medium</w:t>
            </w:r>
          </w:p>
        </w:tc>
        <w:tc>
          <w:tcPr>
            <w:tcW w:type="dxa" w:w="4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Identify backup SMEs; schedule review cycles 2 weeks in advance; use asynchronous review tools</w:t>
            </w:r>
          </w:p>
        </w:tc>
      </w:tr>
      <w:tr>
        <w:tc>
          <w:tcPr>
            <w:tcW w:type="dxa" w:w="2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Training materials not ready for go-live</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Low</w:t>
            </w:r>
          </w:p>
        </w:tc>
        <w:tc>
          <w:tcPr>
            <w:tcW w:type="dxa" w:w="1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44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SAM methodology with iterative development provides buffer; pilot phase allows final validation</w:t>
            </w:r>
          </w:p>
        </w:tc>
      </w:tr>
    </w:tbl>
    <w:p>
      <w:pPr>
        <w:pStyle w:val="Heading1"/>
        <w:spacing w:after="120" w:before="360"/>
      </w:pPr>
      <w:r>
        <w:rPr>
          <w:rFonts w:ascii="Arial" w:cs="Arial" w:eastAsia="Arial" w:hAnsi="Arial"/>
          <w:b/>
          <w:bCs/>
          <w:color w:val="1A1A2E"/>
          <w:sz w:val="32"/>
          <w:szCs w:val="32"/>
        </w:rPr>
        <w:t xml:space="preserve">10. Constraints and Assumptions</w:t>
      </w:r>
    </w:p>
    <w:p>
      <w:pPr>
        <w:pStyle w:val="Heading2"/>
        <w:spacing w:after="120" w:before="240"/>
      </w:pPr>
      <w:r>
        <w:rPr>
          <w:rFonts w:ascii="Arial" w:cs="Arial" w:eastAsia="Arial" w:hAnsi="Arial"/>
          <w:b/>
          <w:bCs/>
          <w:color w:val="1A1A2E"/>
          <w:sz w:val="26"/>
          <w:szCs w:val="26"/>
        </w:rPr>
        <w:t xml:space="preserve">Constraints</w:t>
      </w:r>
    </w:p>
    <w:p>
      <w:pPr>
        <w:pStyle w:val="ListParagraph"/>
        <w:numPr>
          <w:ilvl w:val="0"/>
          <w:numId w:val="2"/>
        </w:numPr>
        <w:spacing w:after="60"/>
      </w:pPr>
      <w:r>
        <w:rPr>
          <w:rFonts w:ascii="Arial" w:cs="Arial" w:eastAsia="Arial" w:hAnsi="Arial"/>
          <w:color w:val="2D3748"/>
          <w:sz w:val="20"/>
          <w:szCs w:val="20"/>
        </w:rPr>
        <w:t xml:space="preserve">Training must be completed for all 339 employees prior to the September 2026 go-live date.</w:t>
      </w:r>
    </w:p>
    <w:p>
      <w:pPr>
        <w:pStyle w:val="ListParagraph"/>
        <w:numPr>
          <w:ilvl w:val="0"/>
          <w:numId w:val="2"/>
        </w:numPr>
        <w:spacing w:after="60"/>
      </w:pPr>
      <w:r>
        <w:rPr>
          <w:rFonts w:ascii="Arial" w:cs="Arial" w:eastAsia="Arial" w:hAnsi="Arial"/>
          <w:color w:val="2D3748"/>
          <w:sz w:val="20"/>
          <w:szCs w:val="20"/>
        </w:rPr>
        <w:t xml:space="preserve">Clinical staff cannot be pulled from patient care for more than 2 hours per training session.</w:t>
      </w:r>
    </w:p>
    <w:p>
      <w:pPr>
        <w:pStyle w:val="ListParagraph"/>
        <w:numPr>
          <w:ilvl w:val="0"/>
          <w:numId w:val="2"/>
        </w:numPr>
        <w:spacing w:after="60"/>
      </w:pPr>
      <w:r>
        <w:rPr>
          <w:rFonts w:ascii="Arial" w:cs="Arial" w:eastAsia="Arial" w:hAnsi="Arial"/>
          <w:color w:val="2D3748"/>
          <w:sz w:val="20"/>
          <w:szCs w:val="20"/>
        </w:rPr>
        <w:t xml:space="preserve">Budget for external training development tools has been approved; headcount for additional trainers has not.</w:t>
      </w:r>
    </w:p>
    <w:p>
      <w:pPr>
        <w:pStyle w:val="ListParagraph"/>
        <w:numPr>
          <w:ilvl w:val="0"/>
          <w:numId w:val="2"/>
        </w:numPr>
        <w:spacing w:after="60"/>
      </w:pPr>
      <w:r>
        <w:rPr>
          <w:rFonts w:ascii="Arial" w:cs="Arial" w:eastAsia="Arial" w:hAnsi="Arial"/>
          <w:color w:val="2D3748"/>
          <w:sz w:val="20"/>
          <w:szCs w:val="20"/>
        </w:rPr>
        <w:t xml:space="preserve">The sandbox environment for MeridianChart is expected to be available by May 2026, but this date has not been confirmed by the vendor.</w:t>
      </w:r>
    </w:p>
    <w:p>
      <w:pPr>
        <w:pStyle w:val="ListParagraph"/>
        <w:numPr>
          <w:ilvl w:val="0"/>
          <w:numId w:val="2"/>
        </w:numPr>
        <w:spacing w:after="60"/>
      </w:pPr>
      <w:r>
        <w:rPr>
          <w:rFonts w:ascii="Arial" w:cs="Arial" w:eastAsia="Arial" w:hAnsi="Arial"/>
          <w:color w:val="2D3748"/>
          <w:sz w:val="20"/>
          <w:szCs w:val="20"/>
        </w:rPr>
        <w:t xml:space="preserve">All training content must meet WCAG 2.1 Level AA accessibility standards.</w:t>
      </w:r>
    </w:p>
    <w:p>
      <w:pPr>
        <w:pStyle w:val="Heading2"/>
        <w:spacing w:after="120" w:before="240"/>
      </w:pPr>
      <w:r>
        <w:rPr>
          <w:rFonts w:ascii="Arial" w:cs="Arial" w:eastAsia="Arial" w:hAnsi="Arial"/>
          <w:b/>
          <w:bCs/>
          <w:color w:val="1A1A2E"/>
          <w:sz w:val="26"/>
          <w:szCs w:val="26"/>
        </w:rPr>
        <w:t xml:space="preserve">Assumptions</w:t>
      </w:r>
    </w:p>
    <w:p>
      <w:pPr>
        <w:pStyle w:val="ListParagraph"/>
        <w:numPr>
          <w:ilvl w:val="0"/>
          <w:numId w:val="2"/>
        </w:numPr>
        <w:spacing w:after="60"/>
      </w:pPr>
      <w:r>
        <w:rPr>
          <w:rFonts w:ascii="Arial" w:cs="Arial" w:eastAsia="Arial" w:hAnsi="Arial"/>
          <w:color w:val="2D3748"/>
          <w:sz w:val="20"/>
          <w:szCs w:val="20"/>
        </w:rPr>
        <w:t xml:space="preserve">All employees have access to a computer or tablet capable of completing eLearning modules.</w:t>
      </w:r>
    </w:p>
    <w:p>
      <w:pPr>
        <w:pStyle w:val="ListParagraph"/>
        <w:numPr>
          <w:ilvl w:val="0"/>
          <w:numId w:val="2"/>
        </w:numPr>
        <w:spacing w:after="60"/>
      </w:pPr>
      <w:r>
        <w:rPr>
          <w:rFonts w:ascii="Arial" w:cs="Arial" w:eastAsia="Arial" w:hAnsi="Arial"/>
          <w:color w:val="2D3748"/>
          <w:sz w:val="20"/>
          <w:szCs w:val="20"/>
        </w:rPr>
        <w:t xml:space="preserve">The existing LMS (HealthLearn) will be used as the primary delivery platform for asynchronous content.</w:t>
      </w:r>
    </w:p>
    <w:p>
      <w:pPr>
        <w:pStyle w:val="ListParagraph"/>
        <w:numPr>
          <w:ilvl w:val="0"/>
          <w:numId w:val="2"/>
        </w:numPr>
        <w:spacing w:after="60"/>
      </w:pPr>
      <w:r>
        <w:rPr>
          <w:rFonts w:ascii="Arial" w:cs="Arial" w:eastAsia="Arial" w:hAnsi="Arial"/>
          <w:color w:val="2D3748"/>
          <w:sz w:val="20"/>
          <w:szCs w:val="20"/>
        </w:rPr>
        <w:t xml:space="preserve">Subject matter experts will be available for content review on a bi-weekly cadence.</w:t>
      </w:r>
    </w:p>
    <w:p>
      <w:pPr>
        <w:pStyle w:val="ListParagraph"/>
        <w:numPr>
          <w:ilvl w:val="0"/>
          <w:numId w:val="2"/>
        </w:numPr>
        <w:spacing w:after="60"/>
      </w:pPr>
      <w:r>
        <w:rPr>
          <w:rFonts w:ascii="Arial" w:cs="Arial" w:eastAsia="Arial" w:hAnsi="Arial"/>
          <w:color w:val="2D3748"/>
          <w:sz w:val="20"/>
          <w:szCs w:val="20"/>
        </w:rPr>
        <w:t xml:space="preserve">Leadership will communicate the importance of training and mandate participation through formal channels.</w:t>
      </w:r>
    </w:p>
    <w:p>
      <w:pPr>
        <w:pStyle w:val="ListParagraph"/>
        <w:numPr>
          <w:ilvl w:val="0"/>
          <w:numId w:val="2"/>
        </w:numPr>
        <w:spacing w:after="60"/>
      </w:pPr>
      <w:r>
        <w:rPr>
          <w:rFonts w:ascii="Arial" w:cs="Arial" w:eastAsia="Arial" w:hAnsi="Arial"/>
          <w:color w:val="2D3748"/>
          <w:sz w:val="20"/>
          <w:szCs w:val="20"/>
        </w:rPr>
        <w:t xml:space="preserve">The peer champion program will be supported with a modest stipend or recognition incentive.</w:t>
      </w:r>
    </w:p>
    <w:p>
      <w:pPr>
        <w:pStyle w:val="Heading1"/>
        <w:spacing w:after="120" w:before="360"/>
      </w:pPr>
      <w:r>
        <w:rPr>
          <w:rFonts w:ascii="Arial" w:cs="Arial" w:eastAsia="Arial" w:hAnsi="Arial"/>
          <w:b/>
          <w:bCs/>
          <w:color w:val="1A1A2E"/>
          <w:sz w:val="32"/>
          <w:szCs w:val="32"/>
        </w:rPr>
        <w:t xml:space="preserve">11. Conclusion and Next Steps</w:t>
      </w:r>
    </w:p>
    <w:p>
      <w:pPr>
        <w:spacing w:after="120"/>
      </w:pPr>
      <w:r>
        <w:rPr>
          <w:rFonts w:ascii="Arial" w:cs="Arial" w:eastAsia="Arial" w:hAnsi="Arial"/>
          <w:color w:val="2D3748"/>
          <w:sz w:val="20"/>
          <w:szCs w:val="20"/>
        </w:rPr>
        <w:t xml:space="preserve">This needs analysis confirms that a structured, role-specific training program is essential for the successful adoption of MeridianChart at Meridian Health Partners. The findings point to clear performance gaps that, if left unaddressed, could result in inconsistent system usage, increased documentation errors, and reduced staff confidence during a critical organizational transition.</w:t>
      </w:r>
    </w:p>
    <w:p>
      <w:pPr>
        <w:spacing w:after="120"/>
      </w:pPr>
      <w:r>
        <w:rPr>
          <w:rFonts w:ascii="Arial" w:cs="Arial" w:eastAsia="Arial" w:hAnsi="Arial"/>
          <w:color w:val="2D3748"/>
          <w:sz w:val="20"/>
          <w:szCs w:val="20"/>
        </w:rPr>
        <w:t xml:space="preserve">The recommended blended learning approach, combined with iterative development through SAM and a clear Kirkpatrick evaluation strategy, positions the organization to meet its September 2026 go-live target while building a sustainable learning infrastructure for the future.</w:t>
      </w:r>
    </w:p>
    <w:p>
      <w:pPr>
        <w:spacing w:after="120"/>
      </w:pPr>
      <w:r>
        <w:rPr>
          <w:rFonts w:ascii="Arial" w:cs="Arial" w:eastAsia="Arial" w:hAnsi="Arial"/>
          <w:b/>
          <w:bCs/>
          <w:color w:val="2D3748"/>
          <w:sz w:val="20"/>
          <w:szCs w:val="20"/>
        </w:rPr>
        <w:t xml:space="preserve">Recommended Next Steps:</w:t>
      </w:r>
    </w:p>
    <w:p>
      <w:pPr>
        <w:pStyle w:val="ListParagraph"/>
        <w:numPr>
          <w:ilvl w:val="0"/>
          <w:numId w:val="2"/>
        </w:numPr>
        <w:spacing w:after="60"/>
      </w:pPr>
      <w:r>
        <w:rPr>
          <w:rFonts w:ascii="Arial" w:cs="Arial" w:eastAsia="Arial" w:hAnsi="Arial"/>
          <w:color w:val="2D3748"/>
          <w:sz w:val="20"/>
          <w:szCs w:val="20"/>
        </w:rPr>
        <w:t xml:space="preserve">Secure stakeholder approval of this needs analysis and the recommended training approach.</w:t>
      </w:r>
    </w:p>
    <w:p>
      <w:pPr>
        <w:pStyle w:val="ListParagraph"/>
        <w:numPr>
          <w:ilvl w:val="0"/>
          <w:numId w:val="2"/>
        </w:numPr>
        <w:spacing w:after="60"/>
      </w:pPr>
      <w:r>
        <w:rPr>
          <w:rFonts w:ascii="Arial" w:cs="Arial" w:eastAsia="Arial" w:hAnsi="Arial"/>
          <w:color w:val="2D3748"/>
          <w:sz w:val="20"/>
          <w:szCs w:val="20"/>
        </w:rPr>
        <w:t xml:space="preserve">Initiate the Design phase with role-specific design documents and content outlines.</w:t>
      </w:r>
    </w:p>
    <w:p>
      <w:pPr>
        <w:pStyle w:val="ListParagraph"/>
        <w:numPr>
          <w:ilvl w:val="0"/>
          <w:numId w:val="2"/>
        </w:numPr>
        <w:spacing w:after="60"/>
      </w:pPr>
      <w:r>
        <w:rPr>
          <w:rFonts w:ascii="Arial" w:cs="Arial" w:eastAsia="Arial" w:hAnsi="Arial"/>
          <w:color w:val="2D3748"/>
          <w:sz w:val="20"/>
          <w:szCs w:val="20"/>
        </w:rPr>
        <w:t xml:space="preserve">Confirm SME availability and establish the bi-weekly review cadence.</w:t>
      </w:r>
    </w:p>
    <w:p>
      <w:pPr>
        <w:pStyle w:val="ListParagraph"/>
        <w:numPr>
          <w:ilvl w:val="0"/>
          <w:numId w:val="2"/>
        </w:numPr>
        <w:spacing w:after="60"/>
      </w:pPr>
      <w:r>
        <w:rPr>
          <w:rFonts w:ascii="Arial" w:cs="Arial" w:eastAsia="Arial" w:hAnsi="Arial"/>
          <w:color w:val="2D3748"/>
          <w:sz w:val="20"/>
          <w:szCs w:val="20"/>
        </w:rPr>
        <w:t xml:space="preserve">Begin development of the change communication plan in partnership with HR and Operations.</w:t>
      </w:r>
    </w:p>
    <w:p>
      <w:pPr>
        <w:pStyle w:val="ListParagraph"/>
        <w:numPr>
          <w:ilvl w:val="0"/>
          <w:numId w:val="2"/>
        </w:numPr>
        <w:spacing w:after="60"/>
      </w:pPr>
      <w:r>
        <w:rPr>
          <w:rFonts w:ascii="Arial" w:cs="Arial" w:eastAsia="Arial" w:hAnsi="Arial"/>
          <w:color w:val="2D3748"/>
          <w:sz w:val="20"/>
          <w:szCs w:val="20"/>
        </w:rPr>
        <w:t xml:space="preserve">Schedule kickoff meeting with the MeridianChart vendor training team to coordinate sandbox access, content integration, and timeline dependencies.</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Learning Needs Analysis and approve the recommended training strategy for the MeridianChart EHR implementation.</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Chief Medical Officer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Director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Operations Manager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Meridian Health Partners</w:t>
    </w:r>
    <w:r>
      <w:rPr>
        <w:rFonts w:ascii="Arial" w:cs="Arial" w:eastAsia="Arial" w:hAnsi="Arial"/>
        <w:sz w:val="16"/>
        <w:szCs w:val="16"/>
      </w:rPr>
      <w:t xml:space="preserve">	</w:t>
    </w:r>
    <w:r>
      <w:rPr>
        <w:rFonts w:ascii="Arial" w:cs="Arial" w:eastAsia="Arial" w:hAnsi="Arial"/>
        <w:color w:val="718096"/>
        <w:sz w:val="16"/>
        <w:szCs w:val="16"/>
      </w:rPr>
      <w:t xml:space="preserve">Learning Needs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2026-03-22T20:31:45.678Z</dcterms:created>
  <dcterms:modified xsi:type="dcterms:W3CDTF">2026-03-22T20:31:45.678Z</dcterms:modified>
</cp:coreProperties>
</file>

<file path=docProps/custom.xml><?xml version="1.0" encoding="utf-8"?>
<Properties xmlns="http://schemas.openxmlformats.org/officeDocument/2006/custom-properties" xmlns:vt="http://schemas.openxmlformats.org/officeDocument/2006/docPropsVTypes"/>
</file>