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/>
    <w:p/>
    <w:p/>
    <w:p/>
    <w:p>
      <w:pPr>
        <w:spacing w:after="80"/>
        <w:jc w:val="center"/>
      </w:pPr>
      <w:r>
        <w:rPr>
          <w:rFonts w:ascii="Arial" w:hAnsi="Arial"/>
          <w:b/>
          <w:i w:val="0"/>
          <w:color w:val="1A1A2E"/>
          <w:sz w:val="52"/>
        </w:rPr>
        <w:t>PROJECT PLAN</w:t>
      </w:r>
    </w:p>
    <w:p>
      <w:pPr>
        <w:spacing w:after="480"/>
        <w:jc w:val="center"/>
      </w:pPr>
      <w:r>
        <w:rPr>
          <w:rFonts w:ascii="Arial" w:hAnsi="Arial"/>
          <w:b/>
          <w:i w:val="0"/>
          <w:color w:val="3282B8"/>
          <w:sz w:val="32"/>
        </w:rPr>
        <w:t>PM Field Guide</w:t>
      </w:r>
    </w:p>
    <w:p>
      <w:pPr>
        <w:spacing w:after="800"/>
        <w:jc w:val="center"/>
      </w:pPr>
      <w:r>
        <w:rPr>
          <w:rFonts w:ascii="Arial" w:hAnsi="Arial"/>
          <w:b w:val="0"/>
          <w:i w:val="0"/>
          <w:color w:val="718096"/>
          <w:sz w:val="22"/>
        </w:rPr>
        <w:t>Companion to the Project Plan template</w:t>
      </w:r>
    </w:p>
    <w:p>
      <w:pPr>
        <w:spacing w:after="20"/>
        <w:jc w:val="center"/>
      </w:pPr>
      <w:r>
        <w:rPr>
          <w:rFonts w:ascii="Arial" w:hAnsi="Arial"/>
          <w:b w:val="0"/>
          <w:i w:val="0"/>
          <w:color w:val="718096"/>
          <w:sz w:val="20"/>
        </w:rPr>
        <w:t>Learning &amp; Development</w:t>
      </w:r>
    </w:p>
    <w:p>
      <w:pPr>
        <w:spacing w:after="40"/>
        <w:jc w:val="center"/>
      </w:pPr>
      <w:r>
        <w:rPr>
          <w:rFonts w:ascii="Arial" w:hAnsi="Arial"/>
          <w:b w:val="0"/>
          <w:i w:val="0"/>
          <w:color w:val="718096"/>
          <w:sz w:val="20"/>
        </w:rPr>
        <w:t>Zach Dornisch, M.S. IDT     |     Version 1.0</w:t>
      </w:r>
    </w:p>
    <w:p>
      <w:r>
        <w:br w:type="page"/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How to Use This Guide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The template tells you WHAT goes in each section of a project plan. This guide tells you HOW to produce it well, and WHY each piece matters — drawing on standard project-management practice and adapted for L&amp;D work.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Section numbers match the template. Where the template says "→ Field Guide §4," come here and find §4. This plan covers execution; the goals, audience, learning solution, and evaluation live in the Needs Analysis — reference them, do not repeat them. Sources are cited in APA (7th ed.) style, with full references at the end.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Tailoring the Plan to Your Project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Scale the plan to the size, risk, and visibility of the project — formal PM practice expects tailoring, not ceremony for its own sake (PMI, 2021). A two-week refresh does not need the same rigor as an enterprise rollout.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Always keep the load-bearing pieces: a scope statement, a schedule with dependencies, a budget that sums, a risk register, and sign-off. Scale down the rest for small or low-risk work — a lighter comms plan, a short RACI, brief governance. Scale up for large, high-stakes, or regulated work — fuller stakeholder analysis, formal change control, and procurement planning. Cut depth, not the backbone.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§1   Project Overview and Success Criteria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The overview is charter-level: what the project delivers, why, for whom, by when, and at what budget. Pull the goals, audience, and learning solution from the Needs Analysis and reference them — repeating them here just creates two versions to maintain.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Project success criteria are the project’s definition of done — delivered on time, within budget, accepted by stakeholders, and meeting the quality bar. State them measurably. Keep them separate from training effectiveness, which the Needs Analysis evaluation plan measures; a project can finish on time and on budget and still need the training itself evaluated.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§3   Approach and Methodology — Two Layers, Not One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This is the most common confusion in L&amp;D project plans. There are two different layers, and a good plan names both and keeps them distinct.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Layer</w:t>
            </w:r>
          </w:p>
        </w:tc>
        <w:tc>
          <w:tcPr>
            <w:tcW w:type="dxa" w:w="3216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Options</w:t>
            </w:r>
          </w:p>
        </w:tc>
        <w:tc>
          <w:tcPr>
            <w:tcW w:type="dxa" w:w="3216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What it governs</w:t>
            </w:r>
          </w:p>
        </w:tc>
      </w:tr>
      <w:tr>
        <w:tc>
          <w:tcPr>
            <w:tcW w:type="dxa" w:w="3216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Development model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ADDIE (linear, phase-gated) or SAM (iterative, rapid prototyping)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How the learning content is designed and built</w:t>
            </w:r>
          </w:p>
        </w:tc>
      </w:tr>
      <w:tr>
        <w:tc>
          <w:tcPr>
            <w:tcW w:type="dxa" w:w="3216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PM methodology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Predictive / waterfall, agile (Scrum), or hybrid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How the project is scheduled, controlled, and delivered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Development models:  </w:t>
      </w:r>
      <w:r>
        <w:rPr>
          <w:rFonts w:ascii="Arial" w:hAnsi="Arial"/>
          <w:b w:val="0"/>
          <w:i w:val="0"/>
          <w:color w:val="2D3748"/>
          <w:sz w:val="21"/>
        </w:rPr>
        <w:t>ADDIE moves in sequence — Analyze, Design, Develop, Implement, Evaluate — and suits stable, well-understood requirements. SAM is iterative, using rapid prototypes and build-review-revise cycles; it suits tight timelines and content that is still evolving (Allen &amp; Sites, 2012).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PM methodologies:  </w:t>
      </w:r>
      <w:r>
        <w:rPr>
          <w:rFonts w:ascii="Arial" w:hAnsi="Arial"/>
          <w:b w:val="0"/>
          <w:i w:val="0"/>
          <w:color w:val="2D3748"/>
          <w:sz w:val="21"/>
        </w:rPr>
        <w:t>Predictive (waterfall) plans the work up front and runs it in sequence — good when scope is stable. Agile delivers in short iterative increments and adapts as it goes; Scrum is the common framework (Schwaber &amp; Sutherland, 2020; Beck et al., 2001). Hybrid combines them — phase-gated governance with iterative build inside the gates. PMBOK treats these as a spectrum of development approaches and stresses tailoring to fit (PMI, 2021).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How they pair: ADDIE aligns naturally with a predictive/waterfall schedule; SAM aligns with agile/iterative delivery. You can also mix — for example, SAM development managed inside a hybrid project. The point is to name your development model AND your PM approach, not to assume one implies the other, and to make the schedule in §4 reflect both.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§4   Work Breakdown and Schedule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Decompose every deliverable into work packages until the pieces are small enough to estimate and assign — the breakdown should account for all the work, and only the work, in scope (PMI, 2021).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Estimate the duration of each package (see §5 for estimation methods).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Assign an owner, and map dependencies — what must finish before each package can start.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Derive milestones from the work; they are checkpoints, not free-floating dates.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Critical path:  </w:t>
      </w:r>
      <w:r>
        <w:rPr>
          <w:rFonts w:ascii="Arial" w:hAnsi="Arial"/>
          <w:b w:val="0"/>
          <w:i w:val="0"/>
          <w:color w:val="2D3748"/>
          <w:sz w:val="21"/>
        </w:rPr>
        <w:t>the longest chain of dependent tasks through the project — it determines the end date. A slip on any critical-path task slips the whole project, while tasks off the path have slack. Identify it so you know where to protect the schedule (PMI, 2021).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Keep statuses forward-looking on a plan (Planned / Not started). A plan is a baseline you commit to; once work begins, status reporting belongs in a separate tracker.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§5   Resource Plan and RACI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Effort estimation:  </w:t>
      </w:r>
      <w:r>
        <w:rPr>
          <w:rFonts w:ascii="Arial" w:hAnsi="Arial"/>
          <w:b w:val="0"/>
          <w:i w:val="0"/>
          <w:color w:val="2D3748"/>
          <w:sz w:val="21"/>
        </w:rPr>
        <w:t>for eLearning, a common basis is a development ratio — hours of work per finished hour of instruction (interactive courses run far higher than simple page-turners). Triangulate with analogous estimates from comparable past projects and expert judgment, and state your basis so reviewers can sanity-check it (PMI, 2021).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RACI:  </w:t>
      </w:r>
      <w:r>
        <w:rPr>
          <w:rFonts w:ascii="Arial" w:hAnsi="Arial"/>
          <w:b w:val="0"/>
          <w:i w:val="0"/>
          <w:color w:val="2D3748"/>
          <w:sz w:val="21"/>
        </w:rPr>
        <w:t>a responsibility matrix that removes “who owns this?” ambiguity. For each deliverable, assign Responsible (does the work), Accountable (owns the outcome — exactly one per row), Consulted (gives two-way input), and Informed (kept in the loop one-way). Keep it to one row per major deliverable; it also tells you who belongs in the communication plan (PMI, 2021).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§6   Budget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Build the budget bottom-up from the work: tool and software licenses, media, external services, print, and stipends, plus a contingency for known unknowns. Be explicit about what is included and excluded — internal staff labor is often carried by departmental budgets and stated as out of the project budget. Above all, make the line items sum to the stated total; a budget that does not add up undermines the whole plan (PMI, 2021).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§7   Stakeholders and Communication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Identify stakeholders before planning communication — anyone affected by the project or able to affect it. Then map them by interest and influence to decide how much attention each needs: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</w:r>
          </w:p>
        </w:tc>
        <w:tc>
          <w:tcPr>
            <w:tcW w:type="dxa" w:w="3216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Low interest</w:t>
            </w:r>
          </w:p>
        </w:tc>
        <w:tc>
          <w:tcPr>
            <w:tcW w:type="dxa" w:w="3216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High interest</w:t>
            </w:r>
          </w:p>
        </w:tc>
      </w:tr>
      <w:tr>
        <w:tc>
          <w:tcPr>
            <w:tcW w:type="dxa" w:w="3216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High influence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Keep satisfied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Manage closely</w:t>
            </w:r>
          </w:p>
        </w:tc>
      </w:tr>
      <w:tr>
        <w:tc>
          <w:tcPr>
            <w:tcW w:type="dxa" w:w="3216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Low influence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Monitor</w:t>
            </w:r>
          </w:p>
        </w:tc>
        <w:tc>
          <w:tcPr>
            <w:tcW w:type="dxa" w:w="3216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Keep informed</w:t>
            </w:r>
          </w:p>
        </w:tc>
      </w:tr>
    </w:tbl>
    <w:p>
      <w:pPr>
        <w:spacing w:after="40"/>
      </w:pP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From the map, build the communication plan: for each audience, the purpose (why), the message, frequency, channel, and owner. Make it two-way — name where stakeholders give input — and define an escalation path for blockers and decisions that exceed an owner’s authority (PMI, 2021).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§8   Risk and Issue Management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A risk is a potential problem; an issue is one that has already occurred. Manage both, but do not confuse them.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Score each risk by probability × impact, and prioritize the high-probability, high-impact ones.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For each, choose a response: mitigate (reduce), avoid, transfer, or accept — and name a concrete action and owner.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Keep a risk register (potential) and an issue log (realized: owner, impact, action, resolution date) (PMI, 2021).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Training and adoption risks usually belong in the Needs Analysis; the project plan’s register focuses on delivery risks — resourcing, vendor, timeline, scope, and budget.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§9   Change Control and Governance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The signed-off plan is your baseline — the reference against which change is measured. Without change control, scope quietly drifts and the schedule and budget lose meaning.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Log every change request; assess its impact on scope, schedule, and cost; approve or reject it at the right authority; then update the baseline.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Define governance: who decides what, and the cadence. Phase gates (e.g., Design, Beta, Pilot) are formal go/no-go points (PMI, 2021).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§11   Assumptions and Dependencies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Assumptions:  </w:t>
      </w:r>
      <w:r>
        <w:rPr>
          <w:rFonts w:ascii="Arial" w:hAnsi="Arial"/>
          <w:b w:val="0"/>
          <w:i w:val="0"/>
          <w:color w:val="2D3748"/>
          <w:sz w:val="21"/>
        </w:rPr>
        <w:t>things taken as true for planning (budget approved, SMEs available, devices in place). Validate them early — each is a risk if it turns out false, so cross-check against §8.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Dependencies:  </w:t>
      </w:r>
      <w:r>
        <w:rPr>
          <w:rFonts w:ascii="Arial" w:hAnsi="Arial"/>
          <w:b w:val="0"/>
          <w:i w:val="0"/>
          <w:color w:val="2D3748"/>
          <w:sz w:val="21"/>
        </w:rPr>
        <w:t>internal (one task waiting on another) and external (vendor deliverables, approvals, data). Track external ones closely; they are outside your control.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Procurement:  </w:t>
      </w:r>
      <w:r>
        <w:rPr>
          <w:rFonts w:ascii="Arial" w:hAnsi="Arial"/>
          <w:b w:val="0"/>
          <w:i w:val="0"/>
          <w:color w:val="2D3748"/>
          <w:sz w:val="21"/>
        </w:rPr>
        <w:t>licenses, contracts, and vendor deliverables (such as a sandbox environment) carry lead times that often drive the schedule. Order early and build the lead time into §4 (PMI, 2021).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References</w:t>
      </w:r>
    </w:p>
    <w:p>
      <w:pPr>
        <w:spacing w:after="160"/>
      </w:pPr>
      <w:r>
        <w:rPr>
          <w:rFonts w:ascii="Arial" w:hAnsi="Arial"/>
          <w:b w:val="0"/>
          <w:i/>
          <w:color w:val="718096"/>
          <w:sz w:val="20"/>
        </w:rPr>
        <w:t>Citations follow APA (7th edition) style.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Allen, M. W., &amp; Sites, R. (2012). </w:t>
      </w:r>
      <w:r>
        <w:rPr>
          <w:rFonts w:ascii="Arial" w:hAnsi="Arial"/>
          <w:b w:val="0"/>
          <w:i/>
          <w:color w:val="2D3748"/>
          <w:sz w:val="21"/>
        </w:rPr>
        <w:t>Leaving ADDIE for SAM: An agile model for developing the best learning experiences</w:t>
      </w:r>
      <w:r>
        <w:rPr>
          <w:rFonts w:ascii="Arial" w:hAnsi="Arial"/>
          <w:b w:val="0"/>
          <w:i w:val="0"/>
          <w:color w:val="2D3748"/>
          <w:sz w:val="21"/>
        </w:rPr>
        <w:t>. ASTD Press.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Beck, K., Beedle, M., van Bennekum, A., Cockburn, A., Cunningham, W., Fowler, M., Grenning, J., Highsmith, J., Hunt, A., Jeffries, R., Kern, J., Marick, B., Martin, R. C., Mellor, S., Schwaber, K., Sutherland, J., &amp; Thomas, D. (2001). </w:t>
      </w:r>
      <w:r>
        <w:rPr>
          <w:rFonts w:ascii="Arial" w:hAnsi="Arial"/>
          <w:b w:val="0"/>
          <w:i/>
          <w:color w:val="2D3748"/>
          <w:sz w:val="21"/>
        </w:rPr>
        <w:t>Manifesto for Agile Software Development</w:t>
      </w:r>
      <w:r>
        <w:rPr>
          <w:rFonts w:ascii="Arial" w:hAnsi="Arial"/>
          <w:b w:val="0"/>
          <w:i w:val="0"/>
          <w:color w:val="2D3748"/>
          <w:sz w:val="21"/>
        </w:rPr>
        <w:t>. https://agilemanifesto.org/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Project Management Institute. (2021). </w:t>
      </w:r>
      <w:r>
        <w:rPr>
          <w:rFonts w:ascii="Arial" w:hAnsi="Arial"/>
          <w:b w:val="0"/>
          <w:i/>
          <w:color w:val="2D3748"/>
          <w:sz w:val="21"/>
        </w:rPr>
        <w:t>A guide to the project management body of knowledge (PMBOK guide)</w:t>
      </w:r>
      <w:r>
        <w:rPr>
          <w:rFonts w:ascii="Arial" w:hAnsi="Arial"/>
          <w:b w:val="0"/>
          <w:i w:val="0"/>
          <w:color w:val="2D3748"/>
          <w:sz w:val="21"/>
        </w:rPr>
        <w:t xml:space="preserve"> (7th ed.).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Schwaber, K., &amp; Sutherland, J. (2020). </w:t>
      </w:r>
      <w:r>
        <w:rPr>
          <w:rFonts w:ascii="Arial" w:hAnsi="Arial"/>
          <w:b w:val="0"/>
          <w:i/>
          <w:color w:val="2D3748"/>
          <w:sz w:val="21"/>
        </w:rPr>
        <w:t>The 2020 Scrum Guide</w:t>
      </w:r>
      <w:r>
        <w:rPr>
          <w:rFonts w:ascii="Arial" w:hAnsi="Arial"/>
          <w:b w:val="0"/>
          <w:i w:val="0"/>
          <w:color w:val="2D3748"/>
          <w:sz w:val="21"/>
        </w:rPr>
        <w:t>. https://scrumguides.org/scrum-guide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 — PM Field Guide</dc:title>
  <dc:subject/>
  <dc:creator>Zachariah Dornisch</dc:creator>
  <cp:keywords/>
  <dc:description>generated by python-docx</dc:description>
  <cp:lastModifiedBy>Zachariah Dornisch</cp:lastModifiedBy>
  <cp:revision>1</cp:revision>
  <dcterms:created xsi:type="dcterms:W3CDTF">2013-12-23T23:15:00Z</dcterms:created>
  <dcterms:modified xsi:type="dcterms:W3CDTF">2013-12-23T23:15:00Z</dcterms:modified>
  <cp:category/>
</cp:coreProperties>
</file>