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A1A2E"/>
          <w:sz w:val="44"/>
          <w:szCs w:val="44"/>
        </w:rPr>
        <w:t xml:space="preserve">STORYBOARD</w:t>
      </w:r>
    </w:p>
    <w:p>
      <w:pPr>
        <w:spacing w:after="100"/>
        <w:jc w:val="center"/>
      </w:pPr>
      <w:r>
        <w:rPr>
          <w:rFonts w:ascii="Arial" w:cs="Arial" w:eastAsia="Arial" w:hAnsi="Arial"/>
          <w:color w:val="3282B8"/>
          <w:sz w:val="28"/>
          <w:szCs w:val="28"/>
        </w:rPr>
        <w:t xml:space="preserve">Module 2: Clinical Documentation – Lesson 2.1: Patient Records</w:t>
      </w:r>
    </w:p>
    <w:p>
      <w:pPr>
        <w:spacing w:after="600"/>
        <w:jc w:val="center"/>
      </w:pPr>
    </w:p>
    <w:p>
      <w:pPr>
        <w:jc w:val="center"/>
      </w:pPr>
      <w:r>
        <w:rPr>
          <w:rFonts w:ascii="Arial" w:cs="Arial" w:eastAsia="Arial" w:hAnsi="Arial"/>
          <w:color w:val="718096"/>
          <w:sz w:val="20"/>
          <w:szCs w:val="20"/>
        </w:rPr>
        <w:t xml:space="preserve">Prepared for</w:t>
      </w:r>
    </w:p>
    <w:p>
      <w:pPr>
        <w:spacing w:after="400"/>
        <w:jc w:val="center"/>
      </w:pPr>
      <w:r>
        <w:rPr>
          <w:rFonts w:ascii="Arial" w:cs="Arial" w:eastAsia="Arial" w:hAnsi="Arial"/>
          <w:b/>
          <w:bCs/>
          <w:color w:val="1A1A2E"/>
          <w:sz w:val="26"/>
          <w:szCs w:val="26"/>
        </w:rPr>
        <w:t xml:space="preserve">Meridian Health Partners</w:t>
      </w:r>
    </w:p>
    <w:p>
      <w:pPr>
        <w:jc w:val="center"/>
      </w:pPr>
      <w:r>
        <w:rPr>
          <w:rFonts w:ascii="Arial" w:cs="Arial" w:eastAsia="Arial" w:hAnsi="Arial"/>
          <w:color w:val="718096"/>
          <w:sz w:val="20"/>
          <w:szCs w:val="20"/>
        </w:rPr>
        <w:t xml:space="preserve">Prepared by</w:t>
      </w:r>
    </w:p>
    <w:p>
      <w:pPr>
        <w:spacing w:after="200"/>
        <w:jc w:val="center"/>
      </w:pPr>
      <w:r>
        <w:rPr>
          <w:rFonts w:ascii="Arial" w:cs="Arial" w:eastAsia="Arial" w:hAnsi="Arial"/>
          <w:color w:val="1A1A2E"/>
          <w:sz w:val="22"/>
          <w:szCs w:val="22"/>
        </w:rPr>
        <w:t xml:space="preserve">Zach Dornisch, M.S. IDT</w:t>
      </w:r>
    </w:p>
    <w:p>
      <w:pPr>
        <w:jc w:val="center"/>
      </w:pPr>
      <w:r>
        <w:rPr>
          <w:rFonts w:ascii="Arial" w:cs="Arial" w:eastAsia="Arial" w:hAnsi="Arial"/>
          <w:color w:val="718096"/>
          <w:sz w:val="20"/>
          <w:szCs w:val="20"/>
        </w:rPr>
        <w:t xml:space="preserve">Learning &amp; Development</w:t>
      </w:r>
    </w:p>
    <w:p>
      <w:pPr>
        <w:spacing w:before="1200"/>
      </w:pPr>
    </w:p>
    <w:p>
      <w:pPr>
        <w:spacing w:after="60"/>
        <w:jc w:val="center"/>
      </w:pPr>
      <w:r>
        <w:rPr>
          <w:rFonts w:ascii="Arial" w:cs="Arial" w:eastAsia="Arial" w:hAnsi="Arial"/>
          <w:color w:val="718096"/>
          <w:sz w:val="20"/>
          <w:szCs w:val="20"/>
        </w:rPr>
        <w:t xml:space="preserve">March 2026</w:t>
      </w:r>
    </w:p>
    <w:p>
      <w:pPr>
        <w:jc w:val="center"/>
      </w:pPr>
      <w:r>
        <w:rPr>
          <w:rFonts w:ascii="Arial" w:cs="Arial" w:eastAsia="Arial" w:hAnsi="Arial"/>
          <w:color w:val="718096"/>
          <w:sz w:val="20"/>
          <w:szCs w:val="20"/>
        </w:rPr>
        <w:t xml:space="preserve">Version 1.0</w:t>
      </w:r>
    </w:p>
    <w:p>
      <w:pPr>
        <w:sectPr>
          <w:pgSz w:w="12240" w:h="15840" w:orient="portrait"/>
          <w:pgMar w:top="1440" w:right="1440" w:bottom="1440" w:left="1440" w:header="708" w:footer="708" w:gutter="0"/>
          <w:pgNumType/>
          <w:docGrid w:linePitch="360"/>
        </w:sectPr>
      </w:pPr>
    </w:p>
    <w:p>
      <w:pPr>
        <w:pStyle w:val="Heading1"/>
        <w:spacing w:after="120" w:before="360"/>
      </w:pPr>
      <w:r>
        <w:rPr>
          <w:rFonts w:ascii="Arial" w:cs="Arial" w:eastAsia="Arial" w:hAnsi="Arial"/>
          <w:b/>
          <w:bCs/>
          <w:color w:val="1A1A2E"/>
          <w:sz w:val="32"/>
          <w:szCs w:val="32"/>
        </w:rPr>
        <w:t xml:space="preserve">Storyboard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62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Course</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MeridianChart EHR Training Program</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Module</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Module 2: Clinical Documentation</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Lesson</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Lesson 2.1: Patient Records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Target Audience</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Physicians, Nurses, Medical Assistants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Estimated Duration</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 minutes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Authoring Tool</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Articulate Storyline 360</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Version</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 – Initial Draft</w:t>
            </w:r>
          </w:p>
        </w:tc>
      </w:tr>
    </w:tbl>
    <w:p>
      <w:pPr>
        <w:spacing w:before="200"/>
      </w:pPr>
    </w:p>
    <w:p>
      <w:pPr>
        <w:pStyle w:val="Heading2"/>
        <w:spacing w:after="120" w:before="240"/>
      </w:pPr>
      <w:r>
        <w:rPr>
          <w:rFonts w:ascii="Arial" w:cs="Arial" w:eastAsia="Arial" w:hAnsi="Arial"/>
          <w:b/>
          <w:bCs/>
          <w:color w:val="1A1A2E"/>
          <w:sz w:val="26"/>
          <w:szCs w:val="26"/>
        </w:rPr>
        <w:t xml:space="preserve">Learning Objectives</w:t>
      </w:r>
    </w:p>
    <w:p>
      <w:pPr>
        <w:pStyle w:val="ListParagraph"/>
        <w:numPr>
          <w:ilvl w:val="0"/>
          <w:numId w:val="2"/>
        </w:numPr>
        <w:spacing w:after="60"/>
      </w:pPr>
      <w:r>
        <w:rPr>
          <w:rFonts w:ascii="Arial" w:cs="Arial" w:eastAsia="Arial" w:hAnsi="Arial"/>
          <w:color w:val="2D3748"/>
          <w:sz w:val="20"/>
          <w:szCs w:val="20"/>
        </w:rPr>
        <w:t xml:space="preserve">Open and navigate a patient record using at least two search methods.</w:t>
      </w:r>
    </w:p>
    <w:p>
      <w:pPr>
        <w:pStyle w:val="ListParagraph"/>
        <w:numPr>
          <w:ilvl w:val="0"/>
          <w:numId w:val="2"/>
        </w:numPr>
        <w:spacing w:after="60"/>
      </w:pPr>
      <w:r>
        <w:rPr>
          <w:rFonts w:ascii="Arial" w:cs="Arial" w:eastAsia="Arial" w:hAnsi="Arial"/>
          <w:color w:val="2D3748"/>
          <w:sz w:val="20"/>
          <w:szCs w:val="20"/>
        </w:rPr>
        <w:t xml:space="preserve">Identify the key sections of a patient chart and describe their purpose.</w:t>
      </w:r>
    </w:p>
    <w:p>
      <w:pPr>
        <w:pStyle w:val="ListParagraph"/>
        <w:numPr>
          <w:ilvl w:val="0"/>
          <w:numId w:val="2"/>
        </w:numPr>
        <w:spacing w:after="60"/>
      </w:pPr>
      <w:r>
        <w:rPr>
          <w:rFonts w:ascii="Arial" w:cs="Arial" w:eastAsia="Arial" w:hAnsi="Arial"/>
          <w:color w:val="2D3748"/>
          <w:sz w:val="20"/>
          <w:szCs w:val="20"/>
        </w:rPr>
        <w:t xml:space="preserve">Locate recent clinical notes, orders, and lab results within a patient record.</w:t>
      </w:r>
    </w:p>
    <w:p>
      <w:r>
        <w:br w:type="page"/>
      </w:r>
    </w:p>
    <w:p>
      <w:pPr>
        <w:pStyle w:val="Heading1"/>
        <w:spacing w:after="120" w:before="360"/>
      </w:pPr>
      <w:r>
        <w:rPr>
          <w:rFonts w:ascii="Arial" w:cs="Arial" w:eastAsia="Arial" w:hAnsi="Arial"/>
          <w:b/>
          <w:bCs/>
          <w:color w:val="1A1A2E"/>
          <w:sz w:val="32"/>
          <w:szCs w:val="32"/>
        </w:rPr>
        <w:t xml:space="preserve">Screen-by-Screen Storyboard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9360"/>
            <w:gridSpan w:val="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2"/>
                <w:szCs w:val="22"/>
              </w:rPr>
              <w:t xml:space="preserve">Screen 1: Title Slide</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Visual</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Full-screen branded title card with module name, lesson title, and MeridianChart logo. Subtle healthcare imagery (clinic setting) in background with semi-transparent overlay.</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Narration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i/>
                <w:iCs/>
                <w:sz w:val="20"/>
                <w:szCs w:val="20"/>
              </w:rPr>
              <w:t xml:space="preserve">Welcome to Module 2, Lesson 1: Patient Records. In this lesson, you'll learn how to find, open, and navigate patient records in MeridianChart. You'll start working with real scenarios right away.</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Interaction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Click 'Begin' button to advance. Audio auto-plays with option to mute at bottom. Timer visible: '30 minutes to completion.'</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Notes</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Closed captions enabled by default. Keyboard accessible: Tab to button, Enter to activate. Gagné Event 1: Gain Attention.</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9360"/>
            <w:gridSpan w:val="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2"/>
                <w:szCs w:val="22"/>
              </w:rPr>
              <w:t xml:space="preserve">Screen 2: Learning Objectives</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Visual</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Clean layout with three objectives listed with green checkmark icons (#28A745). Each objective appears with a subtle 0.3s fade-in animation.</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Narration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i/>
                <w:iCs/>
                <w:sz w:val="20"/>
                <w:szCs w:val="20"/>
              </w:rPr>
              <w:t xml:space="preserve">By the end of this lesson, you will be able to open and navigate a patient record using at least two search methods, identify the key sections of a patient chart, and locate recent clinical notes, orders, and lab results.</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Interaction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Click 'Next' to continue. Objectives remain accessible via the menu icon (top-left) throughout the lesson for reference.</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Notes</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Objectives directly map to storyboard screens and assessment questions. Gagné Event 2: Inform Objectives.</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9360"/>
            <w:gridSpan w:val="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2"/>
                <w:szCs w:val="22"/>
              </w:rPr>
              <w:t xml:space="preserve">Screen 3: Scenario Introduction</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Visual</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Split-screen layout: left side shows a professional photo of a clinical reception area (diverse, realistic clinic setting). Right side shows a beige info card with dark blue (#1A1A2E) header and scenario text.</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Narration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i/>
                <w:iCs/>
                <w:sz w:val="20"/>
                <w:szCs w:val="20"/>
              </w:rPr>
              <w:t xml:space="preserve">It's Monday morning at the Westfield clinic. Your first patient, Maria Torres, is here for a follow-up visit. Before you begin, you need to pull up her chart. Let's walk through how to find and open a patient record in MeridianChart. You'll use Maria's information throughout this lesson.</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Interaction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Click 'Next' to continue. No branching on this screen. The scenario establishes a recurring character (Maria Torres) used throughout Module 2.</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Notes</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This introduces the realistic scenario context. Gagné Event 1: Gain Attention + Event 3: Stimulate Recall (learners think about how they currently find charts).</w:t>
            </w:r>
          </w:p>
        </w:tc>
      </w:tr>
    </w:tbl>
    <w:p>
      <w:pPr>
        <w:spacing w:after="200"/>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9360"/>
            <w:gridSpan w:val="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2"/>
                <w:szCs w:val="22"/>
              </w:rPr>
              <w:t xml:space="preserve">Screen 4: Searching for a Patient – Demonstration</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Visual</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Annotated screenshot of the MeridianChart interface (sandbox view). Global search bar highlighted at top-right. Callouts highlight: (1) Global search field, (2) Advanced search button, (3) Recent patients list on left sidebar. Step numbers in blue circles (#3282B8), 12pt Arial Bold.</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Narration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i/>
                <w:iCs/>
                <w:sz w:val="20"/>
                <w:szCs w:val="20"/>
              </w:rPr>
              <w:t xml:space="preserve">There are three ways to find a patient in MeridianChart. First, you can use the global search bar at the top of any screen. Just type the patient's name or MRN and results appear instantly. Second, click 'Advanced Search' for more filters—date of birth, insurance ID, clinic location. Third, your recent patients list shows the last 10 charts you've accessed. Let's try each method.</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Interaction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Guided animation: each search method highlights in sequence as narration describes it (1.5s per highlight). Learner clicks 'Show me' button under each method to reveal a 2-second demo. Three-click progression with feedback: 'Great! You've explored all three methods.'</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Notes</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Screenshots must be refreshed if sandbox UI changes. QA flag: verify MRN format (6 digits at Meridian Health). Gagné Event 4: Present Content + Event 5: Provide Guidance.</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9360"/>
            <w:gridSpan w:val="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2"/>
                <w:szCs w:val="22"/>
              </w:rPr>
              <w:t xml:space="preserve">Screen 5: Try It – Search for Maria Torres</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Visual</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Interactive simulation of the MeridianChart search interface. Global search bar is active and ready for text input. An orange coaching tip box appears above the search field: 'Try typing the patient's last name to begin. We'll accept 'Torres' or 'Maria Torres'.'</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Narration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i/>
                <w:iCs/>
                <w:sz w:val="20"/>
                <w:szCs w:val="20"/>
              </w:rPr>
              <w:t xml:space="preserve">Now it's your turn. Use the search bar to find Maria Torres. Try typing her last name and see what happens. The system will show you matching results.</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Interaction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Interactive try-it interaction: Learner types in the search field. System accepts 'Torres' or 'Maria' or 'Maria Torres' and displays simulated results (3 options: Maria Torres DOB 04/15/1978, Other patients with Torres). Learner clicks the correct patient (DOB 04/15/1978). Incorrect selections trigger a coaching hint: 'Look for the patient with DOB 04/15/1978 and clinic Westfield.' Two attempts allowed; correct answer shown after second attempt.</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Notes</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Track completion in LMS. Test with screen reader (NVDA) to ensure text input and result list are announced. Gagné Event 5: Provide Guidance + Event 6: Elicit Performance.</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9360"/>
            <w:gridSpan w:val="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2"/>
                <w:szCs w:val="22"/>
              </w:rPr>
              <w:t xml:space="preserve">Screen 6: Patient Chart Overview</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Visual</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Full annotated screenshot of an open patient record (Maria Torres). Left navigation panel showing: Demographics, Encounters, Clinical Notes, Orders, Lab Results, Medications, Allergies (each with a small icon). Each section highlighted in sequence with a light blue (#EDF2F7) background. Main content area shows the chart summary view with patient demographics at top.</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Narration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i/>
                <w:iCs/>
                <w:sz w:val="20"/>
                <w:szCs w:val="20"/>
              </w:rPr>
              <w:t xml:space="preserve">Once you open a patient record, you'll see the chart summary view. The left panel contains navigation to all seven major sections. Let's walk through what each section contains and when you'll use it most. Notice that each section has an icon and label. This helps you navigate quickly, even if you're in a hurry.</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Interaction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Hover interaction: learner hovers over each left-panel section to see a tooltip (0.4s delay). Tooltip text is center-aligned on a dark blue (#0F4C75) background with white text. After hovering over all seven sections, a 'Next' button activates. Tooltip examples: 'Demographics: Patient name, DOB, contact, insurance' / 'Clinical Notes: All physician and nurse notes documented.'</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Notes</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Ensure all seven sections are represented and match the actual MeridianChart user guide. Test tooltips with keyboard navigation (Tab to trigger). Gagné Event 4: Present Content + Event 5: Provide Guidance.</w:t>
            </w:r>
          </w:p>
        </w:tc>
      </w:tr>
    </w:tbl>
    <w:p>
      <w:pPr>
        <w:spacing w:after="200"/>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9360"/>
            <w:gridSpan w:val="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2"/>
                <w:szCs w:val="22"/>
              </w:rPr>
              <w:t xml:space="preserve">Screen 7: Knowledge Check</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Visual</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Multiple-choice question displayed in a centered card with light background (#EDF2F7). Question text at top in dark blue (#1A1A2E), 18pt. Four answer options below with radio buttons (12pt Arial, navy text).</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Narration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i/>
                <w:iCs/>
                <w:sz w:val="20"/>
                <w:szCs w:val="20"/>
              </w:rPr>
              <w:t xml:space="preserve">A patient calls to ask about their most recent lab results. Which section of the patient chart would you navigate to first? (No narration; on-screen text only. This tests Event 8: Assess Performance.)</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Interaction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Learner selects one option and clicks 'Submit' button. Correct answer: C) Lab Results. Correct feedback (green box, #28A745): 'That's right! The Lab Results section shows the most recent results with dates and reference ranges.' Incorrect feedback (red box, #DC3545): 'Not quite. Think about where lab values would be stored. Try again.' One retry allowed; on second attempt, full explanation provided. Learner advances after correct answer or second attempt.</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Notes</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Question aligns with Objective 3 and Gagné Event 8: Assess Performance. Track responses in LMS gradebook. Ensure feedback is clear and supportive (Zach's tone: direct, encouraging).</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9360"/>
            <w:gridSpan w:val="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2"/>
                <w:szCs w:val="22"/>
              </w:rPr>
              <w:t xml:space="preserve">Screen 8: Lesson Summary</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Visual</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Summary card with three green checkmarks (#28A745) corresponding to lesson objectives. Left side shows objective list; right side shows a 'Download Job Aid' button (navy background, white text, 18pt Arial Bold) and a 'Next Lesson' button below it.</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Narration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i/>
                <w:iCs/>
                <w:sz w:val="20"/>
                <w:szCs w:val="20"/>
              </w:rPr>
              <w:t xml:space="preserve">Excellent work! You've completed Lesson 2.1. You now know how to search for patients using multiple methods, navigate the chart summary view, and locate key clinical information. Download the Patient Records Quick Reference Guide to keep at your workstation. You'll find it handy during go-live and beyond.</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Interaction</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Click 'Download Job Aid' to save the PDF reference guide (opens in new tab, 2-page PDF). Click 'Next Lesson' to continue to Lesson 2.2: Charting Workflows, or click 'Return to Menu' to exit and review other content.</w:t>
            </w:r>
          </w:p>
        </w:tc>
      </w:tr>
      <w:tr>
        <w:tc>
          <w:tcPr>
            <w:tcW w:type="dxa" w:w="1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sz w:val="20"/>
                <w:szCs w:val="20"/>
              </w:rPr>
              <w:t xml:space="preserve">Notes</w:t>
            </w:r>
          </w:p>
        </w:tc>
        <w:tc>
          <w:tcPr>
            <w:tcW w:type="dxa" w:w="79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Job aid PDF (2 pages, 11x8.5 inches, 300 DPI) must be uploaded to LMS as a supplementary resource. Includes one-page quick-reference table of search methods + chart sections, and one page of annotated screenshots. Gagné Event 9: Enhance Retention. Accessibility: PDF must be tagged and searchable.</w:t>
            </w:r>
          </w:p>
        </w:tc>
      </w:tr>
    </w:tbl>
    <w:p>
      <w:r>
        <w:br w:type="page"/>
      </w:r>
    </w:p>
    <w:p>
      <w:pPr>
        <w:pStyle w:val="Heading1"/>
        <w:spacing w:after="120" w:before="360"/>
      </w:pPr>
      <w:r>
        <w:rPr>
          <w:rFonts w:ascii="Arial" w:cs="Arial" w:eastAsia="Arial" w:hAnsi="Arial"/>
          <w:b/>
          <w:bCs/>
          <w:color w:val="1A1A2E"/>
          <w:sz w:val="32"/>
          <w:szCs w:val="32"/>
        </w:rPr>
        <w:t xml:space="preserve">Stakeholder Sign-Off</w:t>
      </w:r>
    </w:p>
    <w:p>
      <w:pPr>
        <w:spacing w:after="120"/>
      </w:pPr>
      <w:r>
        <w:rPr>
          <w:rFonts w:ascii="Arial" w:cs="Arial" w:eastAsia="Arial" w:hAnsi="Arial"/>
          <w:color w:val="2D3748"/>
          <w:sz w:val="20"/>
          <w:szCs w:val="20"/>
        </w:rPr>
        <w:t xml:space="preserve">By signing below, stakeholders confirm they have reviewed this Storyboard and approve it for development.</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Chief Medical Officer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James Whitfield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IT Director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Operations Manager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718096"/>
        <w:sz w:val="16"/>
        <w:szCs w:val="16"/>
      </w:rPr>
      <w:t xml:space="preserve">Meridian Health Partners</w:t>
    </w:r>
    <w:r>
      <w:rPr>
        <w:rFonts w:ascii="Arial" w:cs="Arial" w:eastAsia="Arial" w:hAnsi="Arial"/>
        <w:sz w:val="16"/>
        <w:szCs w:val="16"/>
      </w:rPr>
      <w:t xml:space="preserve">	</w:t>
    </w:r>
    <w:r>
      <w:rPr>
        <w:rFonts w:ascii="Arial" w:cs="Arial" w:eastAsia="Arial" w:hAnsi="Arial"/>
        <w:color w:val="718096"/>
        <w:sz w:val="16"/>
        <w:szCs w:val="16"/>
      </w:rPr>
      <w:t xml:space="preserve">Storyboard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2026-03-22T20:44:03.950Z</dcterms:created>
  <dcterms:modified xsi:type="dcterms:W3CDTF">2026-03-22T20:44:03.950Z</dcterms:modified>
</cp:coreProperties>
</file>

<file path=docProps/custom.xml><?xml version="1.0" encoding="utf-8"?>
<Properties xmlns="http://schemas.openxmlformats.org/officeDocument/2006/custom-properties" xmlns:vt="http://schemas.openxmlformats.org/officeDocument/2006/docPropsVTypes"/>
</file>