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TRAINING STYLE GUIDE</w:t>
      </w:r>
    </w:p>
    <w:p>
      <w:pPr>
        <w:spacing w:after="100"/>
        <w:jc w:val="center"/>
      </w:pPr>
      <w:r>
        <w:rPr>
          <w:rFonts w:ascii="Arial" w:cs="Arial" w:eastAsia="Arial" w:hAnsi="Arial"/>
          <w:color w:val="3282B8"/>
          <w:sz w:val="28"/>
          <w:szCs w:val="28"/>
        </w:rPr>
        <w:t xml:space="preserve">Standards for Learning Materials</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Meridian Health Partners</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Zach Dornisch, M.S. IDT</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March 2026</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03/01/2026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Initial Draft</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03/15/2026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1.1</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Incorporated stakeholder feedback</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r>
        <w:br w:type="page"/>
      </w:r>
    </w:p>
    <w:p>
      <w:pPr>
        <w:pStyle w:val="Heading1"/>
        <w:spacing w:after="120" w:before="360"/>
      </w:pPr>
      <w:r>
        <w:rPr>
          <w:rFonts w:ascii="Arial" w:cs="Arial" w:eastAsia="Arial" w:hAnsi="Arial"/>
          <w:b/>
          <w:bCs/>
          <w:color w:val="1A1A2E"/>
          <w:sz w:val="32"/>
          <w:szCs w:val="32"/>
        </w:rPr>
        <w:t xml:space="preserve">1. Purpose</w:t>
      </w:r>
    </w:p>
    <w:p>
      <w:pPr>
        <w:spacing w:after="120"/>
      </w:pPr>
      <w:r>
        <w:rPr>
          <w:rFonts w:ascii="Arial" w:cs="Arial" w:eastAsia="Arial" w:hAnsi="Arial"/>
          <w:color w:val="2D3748"/>
          <w:sz w:val="20"/>
          <w:szCs w:val="20"/>
        </w:rPr>
        <w:t xml:space="preserve">This style guide establishes the visual, editorial, and accessibility standards for all training materials developed for Meridian Health Partners' technology implementations. It ensures consistency across eLearning modules, instructor-led materials, job aids, and performance support resources, regardless of author or development timeline.</w:t>
      </w:r>
    </w:p>
    <w:p>
      <w:pPr>
        <w:spacing w:after="120"/>
      </w:pPr>
      <w:r>
        <w:rPr>
          <w:rFonts w:ascii="Arial" w:cs="Arial" w:eastAsia="Arial" w:hAnsi="Arial"/>
          <w:color w:val="2D3748"/>
          <w:sz w:val="20"/>
          <w:szCs w:val="20"/>
        </w:rPr>
        <w:t xml:space="preserve">All instructional designers, content developers, graphic designers, SME contributors, and vendor partners should reference this guide during content creation and review. Adherence to these standards is mandatory for all training materials.</w:t>
      </w:r>
    </w:p>
    <w:p>
      <w:pPr>
        <w:pStyle w:val="Heading1"/>
        <w:spacing w:after="120" w:before="360"/>
      </w:pPr>
      <w:r>
        <w:rPr>
          <w:rFonts w:ascii="Arial" w:cs="Arial" w:eastAsia="Arial" w:hAnsi="Arial"/>
          <w:b/>
          <w:bCs/>
          <w:color w:val="1A1A2E"/>
          <w:sz w:val="32"/>
          <w:szCs w:val="32"/>
        </w:rPr>
        <w:t xml:space="preserve">2. Visual Design Standards</w:t>
      </w:r>
    </w:p>
    <w:p>
      <w:pPr>
        <w:pStyle w:val="Heading2"/>
        <w:spacing w:after="120" w:before="240"/>
      </w:pPr>
      <w:r>
        <w:rPr>
          <w:rFonts w:ascii="Arial" w:cs="Arial" w:eastAsia="Arial" w:hAnsi="Arial"/>
          <w:b/>
          <w:bCs/>
          <w:color w:val="1A1A2E"/>
          <w:sz w:val="26"/>
          <w:szCs w:val="26"/>
        </w:rPr>
        <w:t xml:space="preserve">2.1 Color Palette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Color 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Hex Code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Usage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Primary Navy</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#1A1A2E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All headings, headers, table headers, primary UI elements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Corporate primary color; use for all H1/H2 text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Accent Blue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#3282B8</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Links, buttons, highlights, callouts, CTAs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Interactive elements; draw attention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Deep Blue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#0F4C75</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Table headers, footer backgrounds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Distinct from Primary Navy; used for tables/data</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Light Background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#EDF2F7</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Section backgrounds, card backgrounds, highlights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Low-contrast; for visual separation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Success Green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#28A745</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Correct feedback, completion checkmarks, success messages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Positive reinforcement only; avoid in alerts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Alert Red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#DC3545</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Error messages, warnings, critical alerts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Use sparingly; never use for general text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Body Text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#2D3748</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All body copy, paragraph text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Slightly softer than pure black for screen readability</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Muted Text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#718096</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Captions, metadata, secondary information, footer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Lower contrast; for non-essential information</w:t>
            </w:r>
          </w:p>
        </w:tc>
      </w:tr>
    </w:tbl>
    <w:p>
      <w:pPr>
        <w:pStyle w:val="Heading2"/>
        <w:spacing w:after="120" w:before="240"/>
      </w:pPr>
      <w:r>
        <w:rPr>
          <w:rFonts w:ascii="Arial" w:cs="Arial" w:eastAsia="Arial" w:hAnsi="Arial"/>
          <w:b/>
          <w:bCs/>
          <w:color w:val="1A1A2E"/>
          <w:sz w:val="26"/>
          <w:szCs w:val="26"/>
        </w:rPr>
        <w:t xml:space="preserve">2.2 Typography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Font</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Size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Weight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Slide/Module Title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Arial</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28-32pt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Bold (#1A1A2E)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Section Heading (H2)</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Arial</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22-24pt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Bold (#1A1A2E)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Subsection Heading (H3)</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Arial</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18-20pt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Bold (#1A1A2E)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Body Text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Arial</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16-18pt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Regular (#2D3748)</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Captions / Notes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Arial</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12-14pt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Regular / Italic (#718096)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Buttons / CTAs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Arial</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14-16pt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Bold (#FFFFFF on #3282B8)</w:t>
            </w:r>
          </w:p>
        </w:tc>
      </w:tr>
    </w:tbl>
    <w:p>
      <w:pPr>
        <w:spacing w:after="120"/>
      </w:pPr>
      <w:r>
        <w:rPr>
          <w:rFonts w:ascii="Arial" w:cs="Arial" w:eastAsia="Arial" w:hAnsi="Arial"/>
          <w:b/>
          <w:bCs/>
          <w:color w:val="2D3748"/>
          <w:sz w:val="20"/>
          <w:szCs w:val="20"/>
        </w:rPr>
        <w:t xml:space="preserve">Font Standard: </w:t>
      </w:r>
      <w:r>
        <w:rPr>
          <w:rFonts w:ascii="Arial" w:cs="Arial" w:eastAsia="Arial" w:hAnsi="Arial"/>
          <w:color w:val="2D3748"/>
          <w:sz w:val="20"/>
          <w:szCs w:val="20"/>
        </w:rPr>
        <w:t xml:space="preserve">Arial is the standard font for all Meridian Health Partners training materials. If Arial is unavailable, Helvetica may be used as a fallback (system font). No decorative, script, or serif fonts are permitted. Ensure minimum contrast ratio of 4.5:1 for normal text and 3:1 for large text (18pt+ or 14pt bold) to meet WCAG 2.1 AA.</w:t>
      </w:r>
    </w:p>
    <w:p>
      <w:r>
        <w:br w:type="page"/>
      </w:r>
    </w:p>
    <w:p>
      <w:pPr>
        <w:pStyle w:val="Heading2"/>
        <w:spacing w:after="120" w:before="240"/>
      </w:pPr>
      <w:r>
        <w:rPr>
          <w:rFonts w:ascii="Arial" w:cs="Arial" w:eastAsia="Arial" w:hAnsi="Arial"/>
          <w:b/>
          <w:bCs/>
          <w:color w:val="1A1A2E"/>
          <w:sz w:val="26"/>
          <w:szCs w:val="26"/>
        </w:rPr>
        <w:t xml:space="preserve">2.3 Imagery and Photography</w:t>
      </w:r>
    </w:p>
    <w:p>
      <w:pPr>
        <w:pStyle w:val="ListParagraph"/>
        <w:numPr>
          <w:ilvl w:val="0"/>
          <w:numId w:val="2"/>
        </w:numPr>
        <w:spacing w:after="60"/>
      </w:pPr>
      <w:r>
        <w:rPr>
          <w:rFonts w:ascii="Arial" w:cs="Arial" w:eastAsia="Arial" w:hAnsi="Arial"/>
          <w:color w:val="2D3748"/>
          <w:sz w:val="20"/>
          <w:szCs w:val="20"/>
        </w:rPr>
        <w:t xml:space="preserve">Use authentic healthcare imagery that reflects the diversity of Meridian Health Partners' workforce and patient population. Prefer real photos of clinical settings over staged/posed images.</w:t>
      </w:r>
    </w:p>
    <w:p>
      <w:pPr>
        <w:pStyle w:val="ListParagraph"/>
        <w:numPr>
          <w:ilvl w:val="0"/>
          <w:numId w:val="2"/>
        </w:numPr>
        <w:spacing w:after="60"/>
      </w:pPr>
      <w:r>
        <w:rPr>
          <w:rFonts w:ascii="Arial" w:cs="Arial" w:eastAsia="Arial" w:hAnsi="Arial"/>
          <w:color w:val="2D3748"/>
          <w:sz w:val="20"/>
          <w:szCs w:val="20"/>
        </w:rPr>
        <w:t xml:space="preserve">Avoid generic stock photography with unrealistic expressions, clichéd scenarios, or professional models that don't match organizational culture.</w:t>
      </w:r>
    </w:p>
    <w:p>
      <w:pPr>
        <w:pStyle w:val="ListParagraph"/>
        <w:numPr>
          <w:ilvl w:val="0"/>
          <w:numId w:val="2"/>
        </w:numPr>
        <w:spacing w:after="60"/>
      </w:pPr>
      <w:r>
        <w:rPr>
          <w:rFonts w:ascii="Arial" w:cs="Arial" w:eastAsia="Arial" w:hAnsi="Arial"/>
          <w:color w:val="2D3748"/>
          <w:sz w:val="20"/>
          <w:szCs w:val="20"/>
        </w:rPr>
        <w:t xml:space="preserve">All images must include descriptive alt text that explains content and function. Alt text should be 125 characters or less and start with the key content (not 'Image of...').</w:t>
      </w:r>
    </w:p>
    <w:p>
      <w:pPr>
        <w:pStyle w:val="ListParagraph"/>
        <w:numPr>
          <w:ilvl w:val="0"/>
          <w:numId w:val="2"/>
        </w:numPr>
        <w:spacing w:after="60"/>
      </w:pPr>
      <w:r>
        <w:rPr>
          <w:rFonts w:ascii="Arial" w:cs="Arial" w:eastAsia="Arial" w:hAnsi="Arial"/>
          <w:color w:val="2D3748"/>
          <w:sz w:val="20"/>
          <w:szCs w:val="20"/>
        </w:rPr>
        <w:t xml:space="preserve">Screenshots of MeridianChart must include visible callouts (blue circles with step numbers using #3282B8) and text annotations. Highlight interaction areas with subtle yellow overlay (opacity 0.2).</w:t>
      </w:r>
    </w:p>
    <w:p>
      <w:pPr>
        <w:pStyle w:val="ListParagraph"/>
        <w:numPr>
          <w:ilvl w:val="0"/>
          <w:numId w:val="2"/>
        </w:numPr>
        <w:spacing w:after="60"/>
      </w:pPr>
      <w:r>
        <w:rPr>
          <w:rFonts w:ascii="Arial" w:cs="Arial" w:eastAsia="Arial" w:hAnsi="Arial"/>
          <w:color w:val="2D3748"/>
          <w:sz w:val="20"/>
          <w:szCs w:val="20"/>
        </w:rPr>
        <w:t xml:space="preserve">Minimum image resolution: 150 DPI for print materials, 72–96 DPI for screen-only content. Optimize file size for web (under 200 KB per image where possible).</w:t>
      </w:r>
    </w:p>
    <w:p>
      <w:pPr>
        <w:pStyle w:val="Heading2"/>
        <w:spacing w:after="120" w:before="240"/>
      </w:pPr>
      <w:r>
        <w:rPr>
          <w:rFonts w:ascii="Arial" w:cs="Arial" w:eastAsia="Arial" w:hAnsi="Arial"/>
          <w:b/>
          <w:bCs/>
          <w:color w:val="1A1A2E"/>
          <w:sz w:val="26"/>
          <w:szCs w:val="26"/>
        </w:rPr>
        <w:t xml:space="preserve">2.4 Icons and Graphics</w:t>
      </w:r>
    </w:p>
    <w:p>
      <w:pPr>
        <w:pStyle w:val="ListParagraph"/>
        <w:numPr>
          <w:ilvl w:val="0"/>
          <w:numId w:val="2"/>
        </w:numPr>
        <w:spacing w:after="60"/>
      </w:pPr>
      <w:r>
        <w:rPr>
          <w:rFonts w:ascii="Arial" w:cs="Arial" w:eastAsia="Arial" w:hAnsi="Arial"/>
          <w:color w:val="2D3748"/>
          <w:sz w:val="20"/>
          <w:szCs w:val="20"/>
        </w:rPr>
        <w:t xml:space="preserve">Use line-style icons with consistent 1.5pt stroke weight and rounded corners. Avoid filled or solid icons.</w:t>
      </w:r>
    </w:p>
    <w:p>
      <w:pPr>
        <w:pStyle w:val="ListParagraph"/>
        <w:numPr>
          <w:ilvl w:val="0"/>
          <w:numId w:val="2"/>
        </w:numPr>
        <w:spacing w:after="60"/>
      </w:pPr>
      <w:r>
        <w:rPr>
          <w:rFonts w:ascii="Arial" w:cs="Arial" w:eastAsia="Arial" w:hAnsi="Arial"/>
          <w:color w:val="2D3748"/>
          <w:sz w:val="20"/>
          <w:szCs w:val="20"/>
        </w:rPr>
        <w:t xml:space="preserve">Icons should be functional (navigation, status indicators, content markers) rather than purely decorative.</w:t>
      </w:r>
    </w:p>
    <w:p>
      <w:pPr>
        <w:pStyle w:val="ListParagraph"/>
        <w:numPr>
          <w:ilvl w:val="0"/>
          <w:numId w:val="2"/>
        </w:numPr>
        <w:spacing w:after="60"/>
      </w:pPr>
      <w:r>
        <w:rPr>
          <w:rFonts w:ascii="Arial" w:cs="Arial" w:eastAsia="Arial" w:hAnsi="Arial"/>
          <w:color w:val="2D3748"/>
          <w:sz w:val="20"/>
          <w:szCs w:val="20"/>
        </w:rPr>
        <w:t xml:space="preserve">Maintain consistent sizing: 24x24px for inline icons, 48x48px for feature icons, 64x64px for title icons.</w:t>
      </w:r>
    </w:p>
    <w:p>
      <w:pPr>
        <w:pStyle w:val="ListParagraph"/>
        <w:numPr>
          <w:ilvl w:val="0"/>
          <w:numId w:val="2"/>
        </w:numPr>
        <w:spacing w:after="60"/>
      </w:pPr>
      <w:r>
        <w:rPr>
          <w:rFonts w:ascii="Arial" w:cs="Arial" w:eastAsia="Arial" w:hAnsi="Arial"/>
          <w:color w:val="2D3748"/>
          <w:sz w:val="20"/>
          <w:szCs w:val="20"/>
        </w:rPr>
        <w:t xml:space="preserve">Icon color: use #3282B8 for primary actions, #2D3748 for neutral, #28A745 for success states.</w:t>
      </w:r>
    </w:p>
    <w:p>
      <w:pPr>
        <w:pStyle w:val="Heading1"/>
        <w:spacing w:after="120" w:before="360"/>
      </w:pPr>
      <w:r>
        <w:rPr>
          <w:rFonts w:ascii="Arial" w:cs="Arial" w:eastAsia="Arial" w:hAnsi="Arial"/>
          <w:b/>
          <w:bCs/>
          <w:color w:val="1A1A2E"/>
          <w:sz w:val="32"/>
          <w:szCs w:val="32"/>
        </w:rPr>
        <w:t xml:space="preserve">3. Editorial Standards</w:t>
      </w:r>
    </w:p>
    <w:p>
      <w:pPr>
        <w:pStyle w:val="Heading2"/>
        <w:spacing w:after="120" w:before="240"/>
      </w:pPr>
      <w:r>
        <w:rPr>
          <w:rFonts w:ascii="Arial" w:cs="Arial" w:eastAsia="Arial" w:hAnsi="Arial"/>
          <w:b/>
          <w:bCs/>
          <w:color w:val="1A1A2E"/>
          <w:sz w:val="26"/>
          <w:szCs w:val="26"/>
        </w:rPr>
        <w:t xml:space="preserve">3.1 Voice and Tone</w:t>
      </w:r>
    </w:p>
    <w:p>
      <w:pPr>
        <w:spacing w:after="120"/>
      </w:pPr>
      <w:r>
        <w:rPr>
          <w:rFonts w:ascii="Arial" w:cs="Arial" w:eastAsia="Arial" w:hAnsi="Arial"/>
          <w:color w:val="2D3748"/>
          <w:sz w:val="20"/>
          <w:szCs w:val="20"/>
        </w:rPr>
        <w:t xml:space="preserve">Meridian Health Partners training voice is: clear, direct, professional, and encouraging. The tone is supportive (not condescending), practical (not academic), and action-oriented.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Do</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Don't</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Use clear, direct language in simple sentences.</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Use jargon without explanation. Dont assume learners know system terminology.</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Write in second person: 'You will click the Save button.'</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Write in third person: 'The user should click the Save button.'</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Use active voice: 'Enter the patient MRN.'</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Use passive voice: 'The patient MRN should be entered.'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Be encouraging: 'Great! You've completed the patient search.'</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Be condescending: 'This is simple.' or overly casual: 'Yo, click the button!'</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Keep sentences under 25 words. Break complex ideas into multiple sentences.</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Write long, complex sentences with multiple clauses that confuse readers.</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Use specific numbers: '3 out of 5 patients'</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Use vague quantifiers: 'most patients' or 'several reasons'</w:t>
            </w:r>
          </w:p>
        </w:tc>
      </w:tr>
    </w:tbl>
    <w:p>
      <w:pPr>
        <w:pStyle w:val="Heading2"/>
        <w:spacing w:after="120" w:before="240"/>
      </w:pPr>
      <w:r>
        <w:rPr>
          <w:rFonts w:ascii="Arial" w:cs="Arial" w:eastAsia="Arial" w:hAnsi="Arial"/>
          <w:b/>
          <w:bCs/>
          <w:color w:val="1A1A2E"/>
          <w:sz w:val="26"/>
          <w:szCs w:val="26"/>
        </w:rPr>
        <w:t xml:space="preserve">3.2 Terminology</w:t>
      </w:r>
    </w:p>
    <w:p>
      <w:pPr>
        <w:spacing w:after="120"/>
      </w:pPr>
      <w:r>
        <w:rPr>
          <w:rFonts w:ascii="Arial" w:cs="Arial" w:eastAsia="Arial" w:hAnsi="Arial"/>
          <w:color w:val="2D3748"/>
          <w:sz w:val="20"/>
          <w:szCs w:val="20"/>
        </w:rPr>
        <w:t xml:space="preserve">Use the following standardized terms consistently across all materials. This glossary is mandatory for all team members: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Preferred Term</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Avoid / Don't Use</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Context / Notes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MeridianChart</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'the new system', 'the EHR', 'the software'</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Always use full product name on first mention; can shorten to 'MeridianChart' thereafter</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patient record</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'chart', 'file', 'case'</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Digital context; emphasize its an EMR record</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click</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'hit', 'press', 'tap', 'punch'</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For mouse-based desktop interactions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select / choose</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'pick', 'highlight'</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Menu and dropdown actions; 'select' is preferred</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enter / type</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'input', 'key in', 'type in'</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Text field actions; 'enter' for structured fields, 'type' for free text</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go-live / go live</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'launch', 'rollout', 'cutover'</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System deployment date; hyphenated as adjective ('go-live date')</w:t>
            </w:r>
          </w:p>
        </w:tc>
      </w:tr>
    </w:tbl>
    <w:p>
      <w:r>
        <w:br w:type="page"/>
      </w:r>
    </w:p>
    <w:p>
      <w:pPr>
        <w:pStyle w:val="Heading2"/>
        <w:spacing w:after="120" w:before="240"/>
      </w:pPr>
      <w:r>
        <w:rPr>
          <w:rFonts w:ascii="Arial" w:cs="Arial" w:eastAsia="Arial" w:hAnsi="Arial"/>
          <w:b/>
          <w:bCs/>
          <w:color w:val="1A1A2E"/>
          <w:sz w:val="26"/>
          <w:szCs w:val="26"/>
        </w:rPr>
        <w:t xml:space="preserve">3.3 Writing Conventions</w:t>
      </w:r>
    </w:p>
    <w:p>
      <w:pPr>
        <w:pStyle w:val="ListParagraph"/>
        <w:numPr>
          <w:ilvl w:val="0"/>
          <w:numId w:val="2"/>
        </w:numPr>
        <w:spacing w:after="60"/>
      </w:pPr>
      <w:r>
        <w:rPr>
          <w:rFonts w:ascii="Arial" w:cs="Arial" w:eastAsia="Arial" w:hAnsi="Arial"/>
          <w:color w:val="2D3748"/>
          <w:sz w:val="20"/>
          <w:szCs w:val="20"/>
        </w:rPr>
        <w:t xml:space="preserve">Use sentence case for all headings and button labels: 'Submit your response' not 'Submit Your Response.'</w:t>
      </w:r>
    </w:p>
    <w:p>
      <w:pPr>
        <w:pStyle w:val="ListParagraph"/>
        <w:numPr>
          <w:ilvl w:val="0"/>
          <w:numId w:val="2"/>
        </w:numPr>
        <w:spacing w:after="60"/>
      </w:pPr>
      <w:r>
        <w:rPr>
          <w:rFonts w:ascii="Arial" w:cs="Arial" w:eastAsia="Arial" w:hAnsi="Arial"/>
          <w:color w:val="2D3748"/>
          <w:sz w:val="20"/>
          <w:szCs w:val="20"/>
        </w:rPr>
        <w:t xml:space="preserve">Use Oxford commas in lists: 'charting, orders, and referrals' (not 'charting, orders and referrals').</w:t>
      </w:r>
    </w:p>
    <w:p>
      <w:pPr>
        <w:pStyle w:val="ListParagraph"/>
        <w:numPr>
          <w:ilvl w:val="0"/>
          <w:numId w:val="2"/>
        </w:numPr>
        <w:spacing w:after="60"/>
      </w:pPr>
      <w:r>
        <w:rPr>
          <w:rFonts w:ascii="Arial" w:cs="Arial" w:eastAsia="Arial" w:hAnsi="Arial"/>
          <w:color w:val="2D3748"/>
          <w:sz w:val="20"/>
          <w:szCs w:val="20"/>
        </w:rPr>
        <w:t xml:space="preserve">Spell out numbers one through nine; use numerals for 10 and above. Exception: use numerals in tables, measurements, and percentages.</w:t>
      </w:r>
    </w:p>
    <w:p>
      <w:pPr>
        <w:pStyle w:val="ListParagraph"/>
        <w:numPr>
          <w:ilvl w:val="0"/>
          <w:numId w:val="2"/>
        </w:numPr>
        <w:spacing w:after="60"/>
      </w:pPr>
      <w:r>
        <w:rPr>
          <w:rFonts w:ascii="Arial" w:cs="Arial" w:eastAsia="Arial" w:hAnsi="Arial"/>
          <w:color w:val="2D3748"/>
          <w:sz w:val="20"/>
          <w:szCs w:val="20"/>
        </w:rPr>
        <w:t xml:space="preserve">Use 12-hour time format with AM/PM (capitalized, no periods): '9:30 AM' or '3:45 PM' not '15:45'.</w:t>
      </w:r>
    </w:p>
    <w:p>
      <w:pPr>
        <w:pStyle w:val="ListParagraph"/>
        <w:numPr>
          <w:ilvl w:val="0"/>
          <w:numId w:val="2"/>
        </w:numPr>
        <w:spacing w:after="60"/>
      </w:pPr>
      <w:r>
        <w:rPr>
          <w:rFonts w:ascii="Arial" w:cs="Arial" w:eastAsia="Arial" w:hAnsi="Arial"/>
          <w:color w:val="2D3748"/>
          <w:sz w:val="20"/>
          <w:szCs w:val="20"/>
        </w:rPr>
        <w:t xml:space="preserve">Abbreviations must be spelled out on first use with the abbreviation in parentheses: 'Electronic Health Record (EHR)' or 'Medical Record Number (MRN)'.</w:t>
      </w:r>
    </w:p>
    <w:p>
      <w:pPr>
        <w:pStyle w:val="ListParagraph"/>
        <w:numPr>
          <w:ilvl w:val="0"/>
          <w:numId w:val="2"/>
        </w:numPr>
        <w:spacing w:after="60"/>
      </w:pPr>
      <w:r>
        <w:rPr>
          <w:rFonts w:ascii="Arial" w:cs="Arial" w:eastAsia="Arial" w:hAnsi="Arial"/>
          <w:color w:val="2D3748"/>
          <w:sz w:val="20"/>
          <w:szCs w:val="20"/>
        </w:rPr>
        <w:t xml:space="preserve">Use dashes (—) for emphasis, not hyphens (-). Example: 'MeridianChart has three core modules—charting, scheduling, and billing.'</w:t>
      </w:r>
    </w:p>
    <w:p>
      <w:pPr>
        <w:pStyle w:val="Heading1"/>
        <w:spacing w:after="120" w:before="360"/>
      </w:pPr>
      <w:r>
        <w:rPr>
          <w:rFonts w:ascii="Arial" w:cs="Arial" w:eastAsia="Arial" w:hAnsi="Arial"/>
          <w:b/>
          <w:bCs/>
          <w:color w:val="1A1A2E"/>
          <w:sz w:val="32"/>
          <w:szCs w:val="32"/>
        </w:rPr>
        <w:t xml:space="preserve">4. Accessibility Standards</w:t>
      </w:r>
    </w:p>
    <w:p>
      <w:pPr>
        <w:spacing w:after="120"/>
      </w:pPr>
      <w:r>
        <w:rPr>
          <w:rFonts w:ascii="Arial" w:cs="Arial" w:eastAsia="Arial" w:hAnsi="Arial"/>
          <w:color w:val="2D3748"/>
          <w:sz w:val="20"/>
          <w:szCs w:val="20"/>
        </w:rPr>
        <w:t xml:space="preserve">All training materials must meet WCAG 2.1 Level AA standards. The following requirements apply:</w:t>
      </w:r>
    </w:p>
    <w:p>
      <w:pPr>
        <w:pStyle w:val="Heading2"/>
        <w:spacing w:after="120" w:before="240"/>
      </w:pPr>
      <w:r>
        <w:rPr>
          <w:rFonts w:ascii="Arial" w:cs="Arial" w:eastAsia="Arial" w:hAnsi="Arial"/>
          <w:b/>
          <w:bCs/>
          <w:color w:val="1A1A2E"/>
          <w:sz w:val="26"/>
          <w:szCs w:val="26"/>
        </w:rPr>
        <w:t xml:space="preserve">4.1 Visual Accessibility</w:t>
      </w:r>
    </w:p>
    <w:p>
      <w:pPr>
        <w:pStyle w:val="ListParagraph"/>
        <w:numPr>
          <w:ilvl w:val="0"/>
          <w:numId w:val="2"/>
        </w:numPr>
        <w:spacing w:after="60"/>
      </w:pPr>
      <w:r>
        <w:rPr>
          <w:rFonts w:ascii="Arial" w:cs="Arial" w:eastAsia="Arial" w:hAnsi="Arial"/>
          <w:color w:val="2D3748"/>
          <w:sz w:val="20"/>
          <w:szCs w:val="20"/>
        </w:rPr>
        <w:t xml:space="preserve">Color contrast ratio: minimum 4.5:1 for normal text, 3:1 for large text (18pt+ or 14pt bold). Verify using WebAIM Contrast Checker or similar tool.</w:t>
      </w:r>
    </w:p>
    <w:p>
      <w:pPr>
        <w:pStyle w:val="ListParagraph"/>
        <w:numPr>
          <w:ilvl w:val="0"/>
          <w:numId w:val="2"/>
        </w:numPr>
        <w:spacing w:after="60"/>
      </w:pPr>
      <w:r>
        <w:rPr>
          <w:rFonts w:ascii="Arial" w:cs="Arial" w:eastAsia="Arial" w:hAnsi="Arial"/>
          <w:color w:val="2D3748"/>
          <w:sz w:val="20"/>
          <w:szCs w:val="20"/>
        </w:rPr>
        <w:t xml:space="preserve">Never use color alone to convey meaning. Pair color with text labels, icons, or patterns. Example: Don't use just red for errors; pair with text 'Error:' or an alert icon.</w:t>
      </w:r>
    </w:p>
    <w:p>
      <w:pPr>
        <w:pStyle w:val="ListParagraph"/>
        <w:numPr>
          <w:ilvl w:val="0"/>
          <w:numId w:val="2"/>
        </w:numPr>
        <w:spacing w:after="60"/>
      </w:pPr>
      <w:r>
        <w:rPr>
          <w:rFonts w:ascii="Arial" w:cs="Arial" w:eastAsia="Arial" w:hAnsi="Arial"/>
          <w:color w:val="2D3748"/>
          <w:sz w:val="20"/>
          <w:szCs w:val="20"/>
        </w:rPr>
        <w:t xml:space="preserve">All images, graphs, and graphics must include descriptive alt text. Alt text should be concise (under 125 characters), start with key content, and avoid 'Image of...'</w:t>
      </w:r>
    </w:p>
    <w:p>
      <w:pPr>
        <w:pStyle w:val="ListParagraph"/>
        <w:numPr>
          <w:ilvl w:val="0"/>
          <w:numId w:val="2"/>
        </w:numPr>
        <w:spacing w:after="60"/>
      </w:pPr>
      <w:r>
        <w:rPr>
          <w:rFonts w:ascii="Arial" w:cs="Arial" w:eastAsia="Arial" w:hAnsi="Arial"/>
          <w:color w:val="2D3748"/>
          <w:sz w:val="20"/>
          <w:szCs w:val="20"/>
        </w:rPr>
        <w:t xml:space="preserve">Animations must not flash more than 3 times per second (WCAG guideline). Provide pause controls for auto-playing content.</w:t>
      </w:r>
    </w:p>
    <w:p>
      <w:pPr>
        <w:pStyle w:val="ListParagraph"/>
        <w:numPr>
          <w:ilvl w:val="0"/>
          <w:numId w:val="2"/>
        </w:numPr>
        <w:spacing w:after="60"/>
      </w:pPr>
      <w:r>
        <w:rPr>
          <w:rFonts w:ascii="Arial" w:cs="Arial" w:eastAsia="Arial" w:hAnsi="Arial"/>
          <w:color w:val="2D3748"/>
          <w:sz w:val="20"/>
          <w:szCs w:val="20"/>
        </w:rPr>
        <w:t xml:space="preserve">Ensure sufficient white space and avoid visual clutter. Use consistent alignment and spacing (minimum 1.5x line spacing).</w:t>
      </w:r>
    </w:p>
    <w:p>
      <w:pPr>
        <w:pStyle w:val="Heading2"/>
        <w:spacing w:after="120" w:before="240"/>
      </w:pPr>
      <w:r>
        <w:rPr>
          <w:rFonts w:ascii="Arial" w:cs="Arial" w:eastAsia="Arial" w:hAnsi="Arial"/>
          <w:b/>
          <w:bCs/>
          <w:color w:val="1A1A2E"/>
          <w:sz w:val="26"/>
          <w:szCs w:val="26"/>
        </w:rPr>
        <w:t xml:space="preserve">4.2 Audio and Video</w:t>
      </w:r>
    </w:p>
    <w:p>
      <w:pPr>
        <w:pStyle w:val="ListParagraph"/>
        <w:numPr>
          <w:ilvl w:val="0"/>
          <w:numId w:val="2"/>
        </w:numPr>
        <w:spacing w:after="60"/>
      </w:pPr>
      <w:r>
        <w:rPr>
          <w:rFonts w:ascii="Arial" w:cs="Arial" w:eastAsia="Arial" w:hAnsi="Arial"/>
          <w:color w:val="2D3748"/>
          <w:sz w:val="20"/>
          <w:szCs w:val="20"/>
        </w:rPr>
        <w:t xml:space="preserve">All narrated content must include synchronized closed captions (not auto-generated; human-reviewed for accuracy).</w:t>
      </w:r>
    </w:p>
    <w:p>
      <w:pPr>
        <w:pStyle w:val="ListParagraph"/>
        <w:numPr>
          <w:ilvl w:val="0"/>
          <w:numId w:val="2"/>
        </w:numPr>
        <w:spacing w:after="60"/>
      </w:pPr>
      <w:r>
        <w:rPr>
          <w:rFonts w:ascii="Arial" w:cs="Arial" w:eastAsia="Arial" w:hAnsi="Arial"/>
          <w:color w:val="2D3748"/>
          <w:sz w:val="20"/>
          <w:szCs w:val="20"/>
        </w:rPr>
        <w:t xml:space="preserve">All video content must include a full text transcript available for download (not just captions).</w:t>
      </w:r>
    </w:p>
    <w:p>
      <w:pPr>
        <w:pStyle w:val="ListParagraph"/>
        <w:numPr>
          <w:ilvl w:val="0"/>
          <w:numId w:val="2"/>
        </w:numPr>
        <w:spacing w:after="60"/>
      </w:pPr>
      <w:r>
        <w:rPr>
          <w:rFonts w:ascii="Arial" w:cs="Arial" w:eastAsia="Arial" w:hAnsi="Arial"/>
          <w:color w:val="2D3748"/>
          <w:sz w:val="20"/>
          <w:szCs w:val="20"/>
        </w:rPr>
        <w:t xml:space="preserve">Content must be fully functional without audio. Never rely on audio alone to convey critical information.</w:t>
      </w:r>
    </w:p>
    <w:p>
      <w:pPr>
        <w:pStyle w:val="ListParagraph"/>
        <w:numPr>
          <w:ilvl w:val="0"/>
          <w:numId w:val="2"/>
        </w:numPr>
        <w:spacing w:after="60"/>
      </w:pPr>
      <w:r>
        <w:rPr>
          <w:rFonts w:ascii="Arial" w:cs="Arial" w:eastAsia="Arial" w:hAnsi="Arial"/>
          <w:color w:val="2D3748"/>
          <w:sz w:val="20"/>
          <w:szCs w:val="20"/>
        </w:rPr>
        <w:t xml:space="preserve">Video controls (play, pause, volume, captions toggle) must be keyboard-accessible and visible.</w:t>
      </w:r>
    </w:p>
    <w:p>
      <w:pPr>
        <w:pStyle w:val="Heading2"/>
        <w:spacing w:after="120" w:before="240"/>
      </w:pPr>
      <w:r>
        <w:rPr>
          <w:rFonts w:ascii="Arial" w:cs="Arial" w:eastAsia="Arial" w:hAnsi="Arial"/>
          <w:b/>
          <w:bCs/>
          <w:color w:val="1A1A2E"/>
          <w:sz w:val="26"/>
          <w:szCs w:val="26"/>
        </w:rPr>
        <w:t xml:space="preserve">4.3 Navigation and Interaction</w:t>
      </w:r>
    </w:p>
    <w:p>
      <w:pPr>
        <w:pStyle w:val="ListParagraph"/>
        <w:numPr>
          <w:ilvl w:val="0"/>
          <w:numId w:val="2"/>
        </w:numPr>
        <w:spacing w:after="60"/>
      </w:pPr>
      <w:r>
        <w:rPr>
          <w:rFonts w:ascii="Arial" w:cs="Arial" w:eastAsia="Arial" w:hAnsi="Arial"/>
          <w:color w:val="2D3748"/>
          <w:sz w:val="20"/>
          <w:szCs w:val="20"/>
        </w:rPr>
        <w:t xml:space="preserve">All interactive elements must be keyboard-accessible (Tab to focus, Enter/Space to activate, Escape to close).</w:t>
      </w:r>
    </w:p>
    <w:p>
      <w:pPr>
        <w:pStyle w:val="ListParagraph"/>
        <w:numPr>
          <w:ilvl w:val="0"/>
          <w:numId w:val="2"/>
        </w:numPr>
        <w:spacing w:after="60"/>
      </w:pPr>
      <w:r>
        <w:rPr>
          <w:rFonts w:ascii="Arial" w:cs="Arial" w:eastAsia="Arial" w:hAnsi="Arial"/>
          <w:color w:val="2D3748"/>
          <w:sz w:val="20"/>
          <w:szCs w:val="20"/>
        </w:rPr>
        <w:t xml:space="preserve">Focus indicators must be visible on all interactive elements. Use a minimum 2px visible focus outline.</w:t>
      </w:r>
    </w:p>
    <w:p>
      <w:pPr>
        <w:pStyle w:val="ListParagraph"/>
        <w:numPr>
          <w:ilvl w:val="0"/>
          <w:numId w:val="2"/>
        </w:numPr>
        <w:spacing w:after="60"/>
      </w:pPr>
      <w:r>
        <w:rPr>
          <w:rFonts w:ascii="Arial" w:cs="Arial" w:eastAsia="Arial" w:hAnsi="Arial"/>
          <w:color w:val="2D3748"/>
          <w:sz w:val="20"/>
          <w:szCs w:val="20"/>
        </w:rPr>
        <w:t xml:space="preserve">Drag-and-drop interactions must include an accessible alternative (e.g., dropdown menu, checkbox list, or buttons).</w:t>
      </w:r>
    </w:p>
    <w:p>
      <w:pPr>
        <w:pStyle w:val="ListParagraph"/>
        <w:numPr>
          <w:ilvl w:val="0"/>
          <w:numId w:val="2"/>
        </w:numPr>
        <w:spacing w:after="60"/>
      </w:pPr>
      <w:r>
        <w:rPr>
          <w:rFonts w:ascii="Arial" w:cs="Arial" w:eastAsia="Arial" w:hAnsi="Arial"/>
          <w:color w:val="2D3748"/>
          <w:sz w:val="20"/>
          <w:szCs w:val="20"/>
        </w:rPr>
        <w:t xml:space="preserve">Screen reader compatibility: test all eLearning with NVDA (Windows) and JAWS before deployment. Ensure form labels are associated with inputs using proper HTML.</w:t>
      </w:r>
    </w:p>
    <w:p>
      <w:pPr>
        <w:pStyle w:val="ListParagraph"/>
        <w:numPr>
          <w:ilvl w:val="0"/>
          <w:numId w:val="2"/>
        </w:numPr>
        <w:spacing w:after="60"/>
      </w:pPr>
      <w:r>
        <w:rPr>
          <w:rFonts w:ascii="Arial" w:cs="Arial" w:eastAsia="Arial" w:hAnsi="Arial"/>
          <w:color w:val="2D3748"/>
          <w:sz w:val="20"/>
          <w:szCs w:val="20"/>
        </w:rPr>
        <w:t xml:space="preserve">Avoid time limits on interactive tasks. If a time limit is necessary, allow user to extend it.</w:t>
      </w:r>
    </w:p>
    <w:p>
      <w:r>
        <w:br w:type="page"/>
      </w:r>
    </w:p>
    <w:p>
      <w:pPr>
        <w:pStyle w:val="Heading1"/>
        <w:spacing w:after="120" w:before="360"/>
      </w:pPr>
      <w:r>
        <w:rPr>
          <w:rFonts w:ascii="Arial" w:cs="Arial" w:eastAsia="Arial" w:hAnsi="Arial"/>
          <w:b/>
          <w:bCs/>
          <w:color w:val="1A1A2E"/>
          <w:sz w:val="32"/>
          <w:szCs w:val="32"/>
        </w:rPr>
        <w:t xml:space="preserve">5. File Naming and Organization</w:t>
      </w:r>
    </w:p>
    <w:p>
      <w:pPr>
        <w:pStyle w:val="Heading2"/>
        <w:spacing w:after="120" w:before="240"/>
      </w:pPr>
      <w:r>
        <w:rPr>
          <w:rFonts w:ascii="Arial" w:cs="Arial" w:eastAsia="Arial" w:hAnsi="Arial"/>
          <w:b/>
          <w:bCs/>
          <w:color w:val="1A1A2E"/>
          <w:sz w:val="26"/>
          <w:szCs w:val="26"/>
        </w:rPr>
        <w:t xml:space="preserve">5.1 File Naming Convention</w:t>
      </w:r>
    </w:p>
    <w:p>
      <w:pPr>
        <w:spacing w:after="120"/>
      </w:pPr>
      <w:r>
        <w:rPr>
          <w:rFonts w:ascii="Arial" w:cs="Arial" w:eastAsia="Arial" w:hAnsi="Arial"/>
          <w:color w:val="2D3748"/>
          <w:sz w:val="20"/>
          <w:szCs w:val="20"/>
        </w:rPr>
        <w:t xml:space="preserve">All project files must follow this naming convention to ensure consistency and findability:</w:t>
      </w:r>
    </w:p>
    <w:p>
      <w:pPr>
        <w:spacing w:after="120"/>
      </w:pPr>
      <w:r>
        <w:rPr>
          <w:rFonts w:ascii="Arial" w:cs="Arial" w:eastAsia="Arial" w:hAnsi="Arial"/>
          <w:b/>
          <w:bCs/>
          <w:color w:val="1A1A2E"/>
          <w:sz w:val="20"/>
          <w:szCs w:val="20"/>
        </w:rPr>
        <w:t xml:space="preserve">[ProjectCode]_[ModuleNumber]_[AssetType]_[Version].[ext]</w:t>
      </w:r>
    </w:p>
    <w:p>
      <w:pPr>
        <w:spacing w:after="120"/>
      </w:pPr>
      <w:r>
        <w:rPr>
          <w:rFonts w:ascii="Arial" w:cs="Arial" w:eastAsia="Arial" w:hAnsi="Arial"/>
          <w:color w:val="2D3748"/>
          <w:sz w:val="20"/>
          <w:szCs w:val="20"/>
        </w:rPr>
        <w:t xml:space="preserve">Example: MHP_M02_Storyboard_v1.2.docx or MHP_M02_eLearning_v2.0.scorm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Format</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Example / Notes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Code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3-letter abbreviation</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MHP = Meridian Health Partners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Module Number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 + 2-digit number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M01, M02, M03... M05 (not M1, M2)</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Asset Type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Descriptive label</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Storyboard, eLearning, JobAid, Slides, Transcript, Screenshot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Version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 + major.minor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v1.0 (initial), v1.1 (minor revision), v2.0 (major revision)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Extension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File type</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docx, pdf, scorm, mp4, png, xlsx, etc.</w:t>
            </w:r>
          </w:p>
        </w:tc>
      </w:tr>
    </w:tbl>
    <w:p>
      <w:pPr>
        <w:pStyle w:val="Heading2"/>
        <w:spacing w:after="120" w:before="240"/>
      </w:pPr>
      <w:r>
        <w:rPr>
          <w:rFonts w:ascii="Arial" w:cs="Arial" w:eastAsia="Arial" w:hAnsi="Arial"/>
          <w:b/>
          <w:bCs/>
          <w:color w:val="1A1A2E"/>
          <w:sz w:val="26"/>
          <w:szCs w:val="26"/>
        </w:rPr>
        <w:t xml:space="preserve">5.2 Folder Structure</w:t>
      </w:r>
    </w:p>
    <w:p>
      <w:pPr>
        <w:pStyle w:val="ListParagraph"/>
        <w:numPr>
          <w:ilvl w:val="0"/>
          <w:numId w:val="2"/>
        </w:numPr>
        <w:spacing w:after="60"/>
      </w:pPr>
      <w:r>
        <w:rPr>
          <w:rFonts w:ascii="Arial" w:cs="Arial" w:eastAsia="Arial" w:hAnsi="Arial"/>
          <w:color w:val="2D3748"/>
          <w:sz w:val="20"/>
          <w:szCs w:val="20"/>
        </w:rPr>
        <w:t xml:space="preserve">Root folder: /MHP_EHR_Training/</w:t>
      </w:r>
    </w:p>
    <w:p>
      <w:pPr>
        <w:pStyle w:val="ListParagraph"/>
        <w:numPr>
          <w:ilvl w:val="0"/>
          <w:numId w:val="2"/>
        </w:numPr>
        <w:spacing w:after="60"/>
      </w:pPr>
      <w:r>
        <w:rPr>
          <w:rFonts w:ascii="Arial" w:cs="Arial" w:eastAsia="Arial" w:hAnsi="Arial"/>
          <w:color w:val="2D3748"/>
          <w:sz w:val="20"/>
          <w:szCs w:val="20"/>
        </w:rPr>
        <w:t xml:space="preserve">Phase folders: /01_Analysis/, /02_Design/, /03_Development/, /04_Implementation/, /05_Evaluation/</w:t>
      </w:r>
    </w:p>
    <w:p>
      <w:pPr>
        <w:pStyle w:val="ListParagraph"/>
        <w:numPr>
          <w:ilvl w:val="0"/>
          <w:numId w:val="2"/>
        </w:numPr>
        <w:spacing w:after="60"/>
      </w:pPr>
      <w:r>
        <w:rPr>
          <w:rFonts w:ascii="Arial" w:cs="Arial" w:eastAsia="Arial" w:hAnsi="Arial"/>
          <w:color w:val="2D3748"/>
          <w:sz w:val="20"/>
          <w:szCs w:val="20"/>
        </w:rPr>
        <w:t xml:space="preserve">Within each phase: /Working/ (drafts), /Review/ (under review), /Final/ (approved, ready to use)</w:t>
      </w:r>
    </w:p>
    <w:p>
      <w:pPr>
        <w:pStyle w:val="ListParagraph"/>
        <w:numPr>
          <w:ilvl w:val="0"/>
          <w:numId w:val="2"/>
        </w:numPr>
        <w:spacing w:after="60"/>
      </w:pPr>
      <w:r>
        <w:rPr>
          <w:rFonts w:ascii="Arial" w:cs="Arial" w:eastAsia="Arial" w:hAnsi="Arial"/>
          <w:color w:val="2D3748"/>
          <w:sz w:val="20"/>
          <w:szCs w:val="20"/>
        </w:rPr>
        <w:t xml:space="preserve">Media subfolder: /01_Analysis/Media/ for images, screenshots, videos</w:t>
      </w:r>
    </w:p>
    <w:p>
      <w:pPr>
        <w:pStyle w:val="ListParagraph"/>
        <w:numPr>
          <w:ilvl w:val="0"/>
          <w:numId w:val="2"/>
        </w:numPr>
        <w:spacing w:after="60"/>
      </w:pPr>
      <w:r>
        <w:rPr>
          <w:rFonts w:ascii="Arial" w:cs="Arial" w:eastAsia="Arial" w:hAnsi="Arial"/>
          <w:color w:val="2D3748"/>
          <w:sz w:val="20"/>
          <w:szCs w:val="20"/>
        </w:rPr>
        <w:t xml:space="preserve">All file names and folder names use underscores (not spaces): MHP_M01_Storyboard_v1.0.docx (not MHP M01 Storyboard v1.0.docx)</w:t>
      </w:r>
    </w:p>
    <w:p>
      <w:pPr>
        <w:pStyle w:val="Heading1"/>
        <w:spacing w:after="120" w:before="360"/>
      </w:pPr>
      <w:r>
        <w:rPr>
          <w:rFonts w:ascii="Arial" w:cs="Arial" w:eastAsia="Arial" w:hAnsi="Arial"/>
          <w:b/>
          <w:bCs/>
          <w:color w:val="1A1A2E"/>
          <w:sz w:val="32"/>
          <w:szCs w:val="32"/>
        </w:rPr>
        <w:t xml:space="preserve">6. Review and Approval</w:t>
      </w:r>
    </w:p>
    <w:p>
      <w:pPr>
        <w:spacing w:after="120"/>
      </w:pPr>
      <w:r>
        <w:rPr>
          <w:rFonts w:ascii="Arial" w:cs="Arial" w:eastAsia="Arial" w:hAnsi="Arial"/>
          <w:color w:val="2D3748"/>
          <w:sz w:val="20"/>
          <w:szCs w:val="20"/>
        </w:rPr>
        <w:t xml:space="preserve">This style guide is a living document. Updates require approval from the instructional design lead (Zach Dornisch) and should be versioned in the Document History table at the beginning of this guide. Major revisions (new sections, significant standard changes) require stakeholder sign-off. All team members should reference the most current version (check version number and date) before beginning any development work.</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Style Guide and agree to apply these standards across all training materials.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Chief Medical Officer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Operations Manager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Meridian Health Partners</w:t>
    </w:r>
    <w:r>
      <w:rPr>
        <w:rFonts w:ascii="Arial" w:cs="Arial" w:eastAsia="Arial" w:hAnsi="Arial"/>
        <w:sz w:val="16"/>
        <w:szCs w:val="16"/>
      </w:rPr>
      <w:t xml:space="preserve">	</w:t>
    </w:r>
    <w:r>
      <w:rPr>
        <w:rFonts w:ascii="Arial" w:cs="Arial" w:eastAsia="Arial" w:hAnsi="Arial"/>
        <w:color w:val="718096"/>
        <w:sz w:val="16"/>
        <w:szCs w:val="16"/>
      </w:rPr>
      <w:t xml:space="preserve">Training Style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2026-03-22T20:44:04.122Z</dcterms:created>
  <dcterms:modified xsi:type="dcterms:W3CDTF">2026-03-22T20:44:04.122Z</dcterms:modified>
</cp:coreProperties>
</file>

<file path=docProps/custom.xml><?xml version="1.0" encoding="utf-8"?>
<Properties xmlns="http://schemas.openxmlformats.org/officeDocument/2006/custom-properties" xmlns:vt="http://schemas.openxmlformats.org/officeDocument/2006/docPropsVTypes"/>
</file>